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Vulnerability handling workflow template</w:t>
      </w:r>
    </w:p>
    <w:p>
      <w:r>
        <w:t xml:space="preserve">A process template aligned with Annex I, Part II, and the reporting steps of Article 14 of Regulation (EU) 2024/2847 — roles to be filled in by you</w:t>
      </w:r>
    </w:p>
    <w:p>
      <w:r>
        <w:rPr>
          <w:i/>
          <w:iCs/>
        </w:rPr>
        <w:t xml:space="preserve">Version 1.0</w:t>
      </w:r>
    </w:p>
    <w:p>
      <w:pPr>
        <w:pStyle w:val="Heading1"/>
      </w:pPr>
      <w:r>
        <w:t xml:space="preserve">Purpose</w:t>
      </w:r>
    </w:p>
    <w:p>
      <w:r>
        <w:t xml:space="preserve">This template describes a vulnerability handling workflow for a manufacturer of products with digital elements, from the receipt of a report to disclosure and documentation. Each step cites the provisions it is aligned with. Roles, tools and evidence are left blank: fill them in for your organisation. The reporting deadlines are reproduced as they appear in Article 14; the template does not add any deadline of its own.</w:t>
      </w:r>
    </w:p>
    <w:p>
      <w:pPr>
        <w:pStyle w:val="Heading1"/>
      </w:pPr>
      <w:r>
        <w:t xml:space="preserve">How to use</w:t>
      </w:r>
    </w:p>
    <w:p>
      <w:r>
        <w:t xml:space="preserve">1. Read Part II of Annex I and Articles 13(6) to (9), 14, 15 and 16 before adapting the template.</w:t>
      </w:r>
    </w:p>
    <w:p>
      <w:r>
        <w:t xml:space="preserve">2. For each step, write down who is responsible (role, not a person's name if staff changes), which tool or channel is used and which evidence is kept.</w:t>
      </w:r>
    </w:p>
    <w:p>
      <w:r>
        <w:t xml:space="preserve">3. Keep the two reporting tracks (actively exploited vulnerability; severe incident) visible to everyone on call: their clocks start when the manufacturer becomes aware.</w:t>
      </w:r>
    </w:p>
    <w:p>
      <w:r>
        <w:t xml:space="preserve">4. Test the workflow with a tabletop exercise and record the result.</w:t>
      </w:r>
    </w:p>
    <w:p>
      <w:r>
        <w:t xml:space="preserve">5. Review the template when implementing acts on notification formats and procedures (Article 14(10)) are adopted.</w:t>
      </w:r>
    </w:p>
    <w:p>
      <w:pPr>
        <w:pStyle w:val="Heading1"/>
      </w:pPr>
      <w:r>
        <w:t xml:space="preserve">Limits</w:t>
      </w:r>
    </w:p>
    <w:p>
      <w:r>
        <w:t xml:space="preserve">This template is a process aid prepared by regulation-cra.eu. It is not legal advice and using it does not establish compliance with Regulation (EU) 2024/2847. Steps marked as recommendations go beyond the text. The obligations apply to the extent and from the dates set out in the Regulation (Article 14 applies from 11 September 2026). Only the texts published in the Official Journal of the European Union are authentic.</w:t>
      </w:r>
    </w:p>
    <w:p>
      <w:pPr>
        <w:pStyle w:val="Heading1"/>
      </w:pPr>
      <w:r>
        <w:t xml:space="preserve">1. Intake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94"/>
        <w:gridCol w:w="1994"/>
        <w:gridCol w:w="1994"/>
        <w:gridCol w:w="1994"/>
        <w:gridCol w:w="1994"/>
        <w:gridCol w:w="1994"/>
        <w:gridCol w:w="1994"/>
      </w:tblGrid>
      <w:tr>
        <w:trPr>
          <w:tblHeader/>
        </w:trPr>
        <w:tc>
          <w:p>
            <w:r>
              <w:rPr>
                <w:b/>
                <w:bCs/>
                <w:sz w:val="18"/>
                <w:szCs w:val="18"/>
              </w:rPr>
              <w:t xml:space="preserve">Ref</w:t>
            </w:r>
          </w:p>
        </w:tc>
        <w:tc>
          <w:p>
            <w:r>
              <w:rPr>
                <w:b/>
                <w:bCs/>
                <w:sz w:val="18"/>
                <w:szCs w:val="18"/>
              </w:rPr>
              <w:t xml:space="preserve">Item</w:t>
            </w:r>
          </w:p>
        </w:tc>
        <w:tc>
          <w:p>
            <w:r>
              <w:rPr>
                <w:b/>
                <w:bCs/>
                <w:sz w:val="18"/>
                <w:szCs w:val="18"/>
              </w:rPr>
              <w:t xml:space="preserve">Provisions</w:t>
            </w:r>
          </w:p>
        </w:tc>
        <w:tc>
          <w:p>
            <w:r>
              <w:rPr>
                <w:b/>
                <w:bCs/>
                <w:sz w:val="18"/>
                <w:szCs w:val="18"/>
              </w:rPr>
              <w:t xml:space="preserve">Guidance</w:t>
            </w:r>
          </w:p>
        </w:tc>
        <w:tc>
          <w:p>
            <w:r>
              <w:rPr>
                <w:b/>
                <w:bCs/>
                <w:sz w:val="18"/>
                <w:szCs w:val="18"/>
              </w:rPr>
              <w:t xml:space="preserve">Owner (role)</w:t>
            </w:r>
          </w:p>
        </w:tc>
        <w:tc>
          <w:p>
            <w:r>
              <w:rPr>
                <w:b/>
                <w:bCs/>
                <w:sz w:val="18"/>
                <w:szCs w:val="18"/>
              </w:rPr>
              <w:t xml:space="preserve">Tool or channel</w:t>
            </w:r>
          </w:p>
        </w:tc>
        <w:tc>
          <w:p>
            <w:r>
              <w:rPr>
                <w:b/>
                <w:bCs/>
                <w:sz w:val="18"/>
                <w:szCs w:val="18"/>
              </w:rPr>
              <w:t xml:space="preserve">Evidence kept</w:t>
            </w:r>
          </w:p>
        </w:tc>
      </w:tr>
      <w:tr>
        <w:tc>
          <w:p>
            <w:r>
              <w:rPr>
                <w:b w:val="false"/>
                <w:bCs w:val="false"/>
                <w:sz w:val="18"/>
                <w:szCs w:val="18"/>
              </w:rPr>
              <w:t xml:space="preserve">1.1</w:t>
            </w:r>
          </w:p>
        </w:tc>
        <w:tc>
          <w:p>
            <w:r>
              <w:rPr>
                <w:b w:val="false"/>
                <w:bCs w:val="false"/>
                <w:sz w:val="18"/>
                <w:szCs w:val="18"/>
              </w:rPr>
              <w:t xml:space="preserve">Receive vulnerability reports through the published contact address and the single point of contact, in line with the coordinated vulnerability disclosure policy.</w:t>
            </w:r>
          </w:p>
        </w:tc>
        <w:tc>
          <w:p>
            <w:r>
              <w:rPr>
                <w:b w:val="false"/>
                <w:bCs w:val="false"/>
                <w:sz w:val="18"/>
                <w:szCs w:val="18"/>
              </w:rPr>
              <w:t xml:space="preserve">Annex I, Part II, point 5; Annex I, Part II, point 6; Article 13(17); Article 13(8), sixth subparagraph</w:t>
            </w:r>
          </w:p>
        </w:tc>
        <w:tc>
          <w:p>
            <w:r>
              <w:rPr>
                <w:b w:val="false"/>
                <w:bCs w:val="false"/>
                <w:sz w:val="18"/>
                <w:szCs w:val="18"/>
              </w:rPr>
              <w:t xml:space="preserve">Reports may come from internal or external sources (Article 13(8), sixth subparagraph). The single point of contact must let users choose their preferred means of communication and not be limited to automated tools (Article 13(17)).</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1.2</w:t>
            </w:r>
          </w:p>
        </w:tc>
        <w:tc>
          <w:p>
            <w:r>
              <w:rPr>
                <w:b w:val="false"/>
                <w:bCs w:val="false"/>
                <w:sz w:val="18"/>
                <w:szCs w:val="18"/>
              </w:rPr>
              <w:t xml:space="preserve">Acknowledge the report and register it with a unique identifier, date and time of receipt.</w:t>
            </w:r>
          </w:p>
        </w:tc>
        <w:tc>
          <w:p>
            <w:r>
              <w:rPr>
                <w:b w:val="false"/>
                <w:bCs w:val="false"/>
                <w:sz w:val="18"/>
                <w:szCs w:val="18"/>
              </w:rPr>
              <w:t xml:space="preserve">Article 13(7)</w:t>
            </w:r>
          </w:p>
        </w:tc>
        <w:tc>
          <w:p>
            <w:r>
              <w:rPr>
                <w:b w:val="false"/>
                <w:bCs w:val="false"/>
                <w:sz w:val="18"/>
                <w:szCs w:val="18"/>
              </w:rPr>
              <w:t xml:space="preserve">Recommendation. The time of awareness matters for the Article 14 deadlines; Article 13(7) requires documenting vulnerabilities of which the manufacturer becomes aware.</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bl>
    <w:p>
      <w:pPr>
        <w:pStyle w:val="Heading1"/>
      </w:pPr>
      <w:r>
        <w:t xml:space="preserve">2. Triage and identification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94"/>
        <w:gridCol w:w="1994"/>
        <w:gridCol w:w="1994"/>
        <w:gridCol w:w="1994"/>
        <w:gridCol w:w="1994"/>
        <w:gridCol w:w="1994"/>
        <w:gridCol w:w="1994"/>
      </w:tblGrid>
      <w:tr>
        <w:trPr>
          <w:tblHeader/>
        </w:trPr>
        <w:tc>
          <w:p>
            <w:r>
              <w:rPr>
                <w:b/>
                <w:bCs/>
                <w:sz w:val="18"/>
                <w:szCs w:val="18"/>
              </w:rPr>
              <w:t xml:space="preserve">Ref</w:t>
            </w:r>
          </w:p>
        </w:tc>
        <w:tc>
          <w:p>
            <w:r>
              <w:rPr>
                <w:b/>
                <w:bCs/>
                <w:sz w:val="18"/>
                <w:szCs w:val="18"/>
              </w:rPr>
              <w:t xml:space="preserve">Item</w:t>
            </w:r>
          </w:p>
        </w:tc>
        <w:tc>
          <w:p>
            <w:r>
              <w:rPr>
                <w:b/>
                <w:bCs/>
                <w:sz w:val="18"/>
                <w:szCs w:val="18"/>
              </w:rPr>
              <w:t xml:space="preserve">Provisions</w:t>
            </w:r>
          </w:p>
        </w:tc>
        <w:tc>
          <w:p>
            <w:r>
              <w:rPr>
                <w:b/>
                <w:bCs/>
                <w:sz w:val="18"/>
                <w:szCs w:val="18"/>
              </w:rPr>
              <w:t xml:space="preserve">Guidance</w:t>
            </w:r>
          </w:p>
        </w:tc>
        <w:tc>
          <w:p>
            <w:r>
              <w:rPr>
                <w:b/>
                <w:bCs/>
                <w:sz w:val="18"/>
                <w:szCs w:val="18"/>
              </w:rPr>
              <w:t xml:space="preserve">Owner (role)</w:t>
            </w:r>
          </w:p>
        </w:tc>
        <w:tc>
          <w:p>
            <w:r>
              <w:rPr>
                <w:b/>
                <w:bCs/>
                <w:sz w:val="18"/>
                <w:szCs w:val="18"/>
              </w:rPr>
              <w:t xml:space="preserve">Tool or channel</w:t>
            </w:r>
          </w:p>
        </w:tc>
        <w:tc>
          <w:p>
            <w:r>
              <w:rPr>
                <w:b/>
                <w:bCs/>
                <w:sz w:val="18"/>
                <w:szCs w:val="18"/>
              </w:rPr>
              <w:t xml:space="preserve">Evidence kept</w:t>
            </w:r>
          </w:p>
        </w:tc>
      </w:tr>
      <w:tr>
        <w:tc>
          <w:p>
            <w:r>
              <w:rPr>
                <w:b w:val="false"/>
                <w:bCs w:val="false"/>
                <w:sz w:val="18"/>
                <w:szCs w:val="18"/>
              </w:rPr>
              <w:t xml:space="preserve">2.1</w:t>
            </w:r>
          </w:p>
        </w:tc>
        <w:tc>
          <w:p>
            <w:r>
              <w:rPr>
                <w:b w:val="false"/>
                <w:bCs w:val="false"/>
                <w:sz w:val="18"/>
                <w:szCs w:val="18"/>
              </w:rPr>
              <w:t xml:space="preserve">Identify the affected products, versions and components, using the software bill of materials.</w:t>
            </w:r>
          </w:p>
        </w:tc>
        <w:tc>
          <w:p>
            <w:r>
              <w:rPr>
                <w:b w:val="false"/>
                <w:bCs w:val="false"/>
                <w:sz w:val="18"/>
                <w:szCs w:val="18"/>
              </w:rPr>
              <w:t xml:space="preserve">Annex I, Part II, point 1</w:t>
            </w:r>
          </w:p>
        </w:tc>
        <w:tc>
          <w:p>
            <w:r>
              <w:rPr>
                <w:b w:val="false"/>
                <w:bCs w:val="false"/>
                <w:sz w:val="18"/>
                <w:szCs w:val="18"/>
              </w:rPr>
              <w:t xml:space="preserve">Part II, point (1), of Annex I requires identifying and documenting vulnerabilities and components, including by drawing up a software bill of materials.</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2.2</w:t>
            </w:r>
          </w:p>
        </w:tc>
        <w:tc>
          <w:p>
            <w:r>
              <w:rPr>
                <w:b w:val="false"/>
                <w:bCs w:val="false"/>
                <w:sz w:val="18"/>
                <w:szCs w:val="18"/>
              </w:rPr>
              <w:t xml:space="preserve">If the vulnerability is in an integrated third-party component (including an open-source component), report it to the person or entity manufacturing or maintaining that component.</w:t>
            </w:r>
          </w:p>
        </w:tc>
        <w:tc>
          <w:p>
            <w:r>
              <w:rPr>
                <w:b w:val="false"/>
                <w:bCs w:val="false"/>
                <w:sz w:val="18"/>
                <w:szCs w:val="18"/>
              </w:rPr>
              <w:t xml:space="preserve">Article 13(6)</w:t>
            </w:r>
          </w:p>
        </w:tc>
        <w:tc>
          <w:p>
            <w:r>
              <w:rPr>
                <w:b w:val="false"/>
                <w:bCs w:val="false"/>
                <w:sz w:val="18"/>
                <w:szCs w:val="18"/>
              </w:rPr>
              <w:t xml:space="preserve">Where you develop a fix for that component, Article 13(6) requires sharing the relevant code or documentation with them, where appropriate in a machine-readable format.</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2.3</w:t>
            </w:r>
          </w:p>
        </w:tc>
        <w:tc>
          <w:p>
            <w:r>
              <w:rPr>
                <w:b w:val="false"/>
                <w:bCs w:val="false"/>
                <w:sz w:val="18"/>
                <w:szCs w:val="18"/>
              </w:rPr>
              <w:t xml:space="preserve">Assess whether the vulnerability is actively exploited: is there reliable evidence that a malicious actor has exploited it in a system without permission of the system owner?</w:t>
            </w:r>
          </w:p>
        </w:tc>
        <w:tc>
          <w:p>
            <w:r>
              <w:rPr>
                <w:b w:val="false"/>
                <w:bCs w:val="false"/>
                <w:sz w:val="18"/>
                <w:szCs w:val="18"/>
              </w:rPr>
              <w:t xml:space="preserve">Article 3, point (42); Article 14(1)</w:t>
            </w:r>
          </w:p>
        </w:tc>
        <w:tc>
          <w:p>
            <w:r>
              <w:rPr>
                <w:b w:val="false"/>
                <w:bCs w:val="false"/>
                <w:sz w:val="18"/>
                <w:szCs w:val="18"/>
              </w:rPr>
              <w:t xml:space="preserve">If yes, open the reporting track of step 3 immediately.</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2.4</w:t>
            </w:r>
          </w:p>
        </w:tc>
        <w:tc>
          <w:p>
            <w:r>
              <w:rPr>
                <w:b w:val="false"/>
                <w:bCs w:val="false"/>
                <w:sz w:val="18"/>
                <w:szCs w:val="18"/>
              </w:rPr>
              <w:t xml:space="preserve">For incidents, assess whether the incident is severe within the meaning of Article 14(5).</w:t>
            </w:r>
          </w:p>
        </w:tc>
        <w:tc>
          <w:p>
            <w:r>
              <w:rPr>
                <w:b w:val="false"/>
                <w:bCs w:val="false"/>
                <w:sz w:val="18"/>
                <w:szCs w:val="18"/>
              </w:rPr>
              <w:t xml:space="preserve">Article 3, point (44); Article 14(5); Article 14(3)</w:t>
            </w:r>
          </w:p>
        </w:tc>
        <w:tc>
          <w:p>
            <w:r>
              <w:rPr>
                <w:b w:val="false"/>
                <w:bCs w:val="false"/>
                <w:sz w:val="18"/>
                <w:szCs w:val="18"/>
              </w:rPr>
              <w:t xml:space="preserve">Article 14(5): it negatively affects or is capable of negatively affecting the ability of the product to protect the availability, authenticity, integrity or confidentiality of sensitive or important data or functions; or it has led or is capable of leading to the introduction or execution of malicious code. If severe, open the reporting track of step 4.</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bl>
    <w:p>
      <w:pPr>
        <w:pStyle w:val="Heading1"/>
      </w:pPr>
      <w:r>
        <w:t xml:space="preserve">3. Reporting track — actively exploited vulnerability (Article 14(1) and (2))</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94"/>
        <w:gridCol w:w="1994"/>
        <w:gridCol w:w="1994"/>
        <w:gridCol w:w="1994"/>
        <w:gridCol w:w="1994"/>
        <w:gridCol w:w="1994"/>
        <w:gridCol w:w="1994"/>
      </w:tblGrid>
      <w:tr>
        <w:trPr>
          <w:tblHeader/>
        </w:trPr>
        <w:tc>
          <w:p>
            <w:r>
              <w:rPr>
                <w:b/>
                <w:bCs/>
                <w:sz w:val="18"/>
                <w:szCs w:val="18"/>
              </w:rPr>
              <w:t xml:space="preserve">Ref</w:t>
            </w:r>
          </w:p>
        </w:tc>
        <w:tc>
          <w:p>
            <w:r>
              <w:rPr>
                <w:b/>
                <w:bCs/>
                <w:sz w:val="18"/>
                <w:szCs w:val="18"/>
              </w:rPr>
              <w:t xml:space="preserve">Item</w:t>
            </w:r>
          </w:p>
        </w:tc>
        <w:tc>
          <w:p>
            <w:r>
              <w:rPr>
                <w:b/>
                <w:bCs/>
                <w:sz w:val="18"/>
                <w:szCs w:val="18"/>
              </w:rPr>
              <w:t xml:space="preserve">Provisions</w:t>
            </w:r>
          </w:p>
        </w:tc>
        <w:tc>
          <w:p>
            <w:r>
              <w:rPr>
                <w:b/>
                <w:bCs/>
                <w:sz w:val="18"/>
                <w:szCs w:val="18"/>
              </w:rPr>
              <w:t xml:space="preserve">Guidance</w:t>
            </w:r>
          </w:p>
        </w:tc>
        <w:tc>
          <w:p>
            <w:r>
              <w:rPr>
                <w:b/>
                <w:bCs/>
                <w:sz w:val="18"/>
                <w:szCs w:val="18"/>
              </w:rPr>
              <w:t xml:space="preserve">Owner (role)</w:t>
            </w:r>
          </w:p>
        </w:tc>
        <w:tc>
          <w:p>
            <w:r>
              <w:rPr>
                <w:b/>
                <w:bCs/>
                <w:sz w:val="18"/>
                <w:szCs w:val="18"/>
              </w:rPr>
              <w:t xml:space="preserve">Tool or channel</w:t>
            </w:r>
          </w:p>
        </w:tc>
        <w:tc>
          <w:p>
            <w:r>
              <w:rPr>
                <w:b/>
                <w:bCs/>
                <w:sz w:val="18"/>
                <w:szCs w:val="18"/>
              </w:rPr>
              <w:t xml:space="preserve">Evidence kept</w:t>
            </w:r>
          </w:p>
        </w:tc>
      </w:tr>
      <w:tr>
        <w:tc>
          <w:p>
            <w:r>
              <w:rPr>
                <w:b w:val="false"/>
                <w:bCs w:val="false"/>
                <w:sz w:val="18"/>
                <w:szCs w:val="18"/>
              </w:rPr>
              <w:t xml:space="preserve">3.1</w:t>
            </w:r>
          </w:p>
        </w:tc>
        <w:tc>
          <w:p>
            <w:r>
              <w:rPr>
                <w:b w:val="false"/>
                <w:bCs w:val="false"/>
                <w:sz w:val="18"/>
                <w:szCs w:val="18"/>
              </w:rPr>
              <w:t xml:space="preserve">Submit an early warning notification without undue delay and in any event within 24 hours of becoming aware, indicating where applicable the Member States where the product has been made available.</w:t>
            </w:r>
          </w:p>
        </w:tc>
        <w:tc>
          <w:p>
            <w:r>
              <w:rPr>
                <w:b w:val="false"/>
                <w:bCs w:val="false"/>
                <w:sz w:val="18"/>
                <w:szCs w:val="18"/>
              </w:rPr>
              <w:t xml:space="preserve">Article 14(2), point (a)</w:t>
            </w:r>
          </w:p>
        </w:tc>
        <w:tc>
          <w:p>
            <w:r>
              <w:rPr>
                <w:b w:val="false"/>
                <w:bCs w:val="false"/>
                <w:sz w:val="18"/>
                <w:szCs w:val="18"/>
              </w:rPr>
              <w:t xml:space="preserve">Notifications go simultaneously to the CSIRT designated as coordinator and to ENISA via the single reporting platform (Article 14(1) and (7)).</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3.2</w:t>
            </w:r>
          </w:p>
        </w:tc>
        <w:tc>
          <w:p>
            <w:r>
              <w:rPr>
                <w:b w:val="false"/>
                <w:bCs w:val="false"/>
                <w:sz w:val="18"/>
                <w:szCs w:val="18"/>
              </w:rPr>
              <w:t xml:space="preserve">Unless already provided, submit a vulnerability notification without undue delay and in any event within 72 hours of becoming aware.</w:t>
            </w:r>
          </w:p>
        </w:tc>
        <w:tc>
          <w:p>
            <w:r>
              <w:rPr>
                <w:b w:val="false"/>
                <w:bCs w:val="false"/>
                <w:sz w:val="18"/>
                <w:szCs w:val="18"/>
              </w:rPr>
              <w:t xml:space="preserve">Article 14(2), point (b)</w:t>
            </w:r>
          </w:p>
        </w:tc>
        <w:tc>
          <w:p>
            <w:r>
              <w:rPr>
                <w:b w:val="false"/>
                <w:bCs w:val="false"/>
                <w:sz w:val="18"/>
                <w:szCs w:val="18"/>
              </w:rPr>
              <w:t xml:space="preserve">Content listed in Article 14(2)(b): general information on the product, the general nature of the exploit and of the vulnerability, corrective or mitigating measures taken and those users can take, and where applicable how sensitive you consider the information to be.</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3.3</w:t>
            </w:r>
          </w:p>
        </w:tc>
        <w:tc>
          <w:p>
            <w:r>
              <w:rPr>
                <w:b w:val="false"/>
                <w:bCs w:val="false"/>
                <w:sz w:val="18"/>
                <w:szCs w:val="18"/>
              </w:rPr>
              <w:t xml:space="preserve">Unless already provided, submit a final report no later than 14 days after a corrective or mitigating measure is available.</w:t>
            </w:r>
          </w:p>
        </w:tc>
        <w:tc>
          <w:p>
            <w:r>
              <w:rPr>
                <w:b w:val="false"/>
                <w:bCs w:val="false"/>
                <w:sz w:val="18"/>
                <w:szCs w:val="18"/>
              </w:rPr>
              <w:t xml:space="preserve">Article 14(2), point (c)</w:t>
            </w:r>
          </w:p>
        </w:tc>
        <w:tc>
          <w:p>
            <w:r>
              <w:rPr>
                <w:b w:val="false"/>
                <w:bCs w:val="false"/>
                <w:sz w:val="18"/>
                <w:szCs w:val="18"/>
              </w:rPr>
              <w:t xml:space="preserve">Minimum content: description of the vulnerability including severity and impact; where available, information on any malicious actor; details of the security update or other corrective measures.</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3.4</w:t>
            </w:r>
          </w:p>
        </w:tc>
        <w:tc>
          <w:p>
            <w:r>
              <w:rPr>
                <w:b w:val="false"/>
                <w:bCs w:val="false"/>
                <w:sz w:val="18"/>
                <w:szCs w:val="18"/>
              </w:rPr>
              <w:t xml:space="preserve">Answer any request from the CSIRT designated as coordinator for an intermediate report on relevant status updates.</w:t>
            </w:r>
          </w:p>
        </w:tc>
        <w:tc>
          <w:p>
            <w:r>
              <w:rPr>
                <w:b w:val="false"/>
                <w:bCs w:val="false"/>
                <w:sz w:val="18"/>
                <w:szCs w:val="18"/>
              </w:rPr>
              <w:t xml:space="preserve">Article 14(6)</w:t>
            </w:r>
          </w:p>
        </w:tc>
        <w:tc>
          <w:p>
            <w:r>
              <w:rPr>
                <w:b w:val="false"/>
                <w:bCs w:val="false"/>
                <w:sz w:val="18"/>
                <w:szCs w:val="18"/>
              </w:rPr>
              <w:t xml:space="preserve">Article 14(6).</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bl>
    <w:p>
      <w:pPr>
        <w:pStyle w:val="Heading1"/>
      </w:pPr>
      <w:r>
        <w:t xml:space="preserve">4. Reporting track — severe incident (Article 14(3) and (4))</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94"/>
        <w:gridCol w:w="1994"/>
        <w:gridCol w:w="1994"/>
        <w:gridCol w:w="1994"/>
        <w:gridCol w:w="1994"/>
        <w:gridCol w:w="1994"/>
        <w:gridCol w:w="1994"/>
      </w:tblGrid>
      <w:tr>
        <w:trPr>
          <w:tblHeader/>
        </w:trPr>
        <w:tc>
          <w:p>
            <w:r>
              <w:rPr>
                <w:b/>
                <w:bCs/>
                <w:sz w:val="18"/>
                <w:szCs w:val="18"/>
              </w:rPr>
              <w:t xml:space="preserve">Ref</w:t>
            </w:r>
          </w:p>
        </w:tc>
        <w:tc>
          <w:p>
            <w:r>
              <w:rPr>
                <w:b/>
                <w:bCs/>
                <w:sz w:val="18"/>
                <w:szCs w:val="18"/>
              </w:rPr>
              <w:t xml:space="preserve">Item</w:t>
            </w:r>
          </w:p>
        </w:tc>
        <w:tc>
          <w:p>
            <w:r>
              <w:rPr>
                <w:b/>
                <w:bCs/>
                <w:sz w:val="18"/>
                <w:szCs w:val="18"/>
              </w:rPr>
              <w:t xml:space="preserve">Provisions</w:t>
            </w:r>
          </w:p>
        </w:tc>
        <w:tc>
          <w:p>
            <w:r>
              <w:rPr>
                <w:b/>
                <w:bCs/>
                <w:sz w:val="18"/>
                <w:szCs w:val="18"/>
              </w:rPr>
              <w:t xml:space="preserve">Guidance</w:t>
            </w:r>
          </w:p>
        </w:tc>
        <w:tc>
          <w:p>
            <w:r>
              <w:rPr>
                <w:b/>
                <w:bCs/>
                <w:sz w:val="18"/>
                <w:szCs w:val="18"/>
              </w:rPr>
              <w:t xml:space="preserve">Owner (role)</w:t>
            </w:r>
          </w:p>
        </w:tc>
        <w:tc>
          <w:p>
            <w:r>
              <w:rPr>
                <w:b/>
                <w:bCs/>
                <w:sz w:val="18"/>
                <w:szCs w:val="18"/>
              </w:rPr>
              <w:t xml:space="preserve">Tool or channel</w:t>
            </w:r>
          </w:p>
        </w:tc>
        <w:tc>
          <w:p>
            <w:r>
              <w:rPr>
                <w:b/>
                <w:bCs/>
                <w:sz w:val="18"/>
                <w:szCs w:val="18"/>
              </w:rPr>
              <w:t xml:space="preserve">Evidence kept</w:t>
            </w:r>
          </w:p>
        </w:tc>
      </w:tr>
      <w:tr>
        <w:tc>
          <w:p>
            <w:r>
              <w:rPr>
                <w:b w:val="false"/>
                <w:bCs w:val="false"/>
                <w:sz w:val="18"/>
                <w:szCs w:val="18"/>
              </w:rPr>
              <w:t xml:space="preserve">4.1</w:t>
            </w:r>
          </w:p>
        </w:tc>
        <w:tc>
          <w:p>
            <w:r>
              <w:rPr>
                <w:b w:val="false"/>
                <w:bCs w:val="false"/>
                <w:sz w:val="18"/>
                <w:szCs w:val="18"/>
              </w:rPr>
              <w:t xml:space="preserve">Submit an early warning notification without undue delay and in any event within 24 hours of becoming aware, including at least whether the incident is suspected of being caused by unlawful or malicious acts.</w:t>
            </w:r>
          </w:p>
        </w:tc>
        <w:tc>
          <w:p>
            <w:r>
              <w:rPr>
                <w:b w:val="false"/>
                <w:bCs w:val="false"/>
                <w:sz w:val="18"/>
                <w:szCs w:val="18"/>
              </w:rPr>
              <w:t xml:space="preserve">Article 14(4), point (a)</w:t>
            </w:r>
          </w:p>
        </w:tc>
        <w:tc>
          <w:p>
            <w:r>
              <w:rPr>
                <w:b w:val="false"/>
                <w:bCs w:val="false"/>
                <w:sz w:val="18"/>
                <w:szCs w:val="18"/>
              </w:rPr>
              <w:t xml:space="preserve">Indicate also, where applicable, the Member States where the product has been made available.</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4.2</w:t>
            </w:r>
          </w:p>
        </w:tc>
        <w:tc>
          <w:p>
            <w:r>
              <w:rPr>
                <w:b w:val="false"/>
                <w:bCs w:val="false"/>
                <w:sz w:val="18"/>
                <w:szCs w:val="18"/>
              </w:rPr>
              <w:t xml:space="preserve">Unless already provided, submit an incident notification without undue delay and in any event within 72 hours of becoming aware.</w:t>
            </w:r>
          </w:p>
        </w:tc>
        <w:tc>
          <w:p>
            <w:r>
              <w:rPr>
                <w:b w:val="false"/>
                <w:bCs w:val="false"/>
                <w:sz w:val="18"/>
                <w:szCs w:val="18"/>
              </w:rPr>
              <w:t xml:space="preserve">Article 14(4), point (b)</w:t>
            </w:r>
          </w:p>
        </w:tc>
        <w:tc>
          <w:p>
            <w:r>
              <w:rPr>
                <w:b w:val="false"/>
                <w:bCs w:val="false"/>
                <w:sz w:val="18"/>
                <w:szCs w:val="18"/>
              </w:rPr>
              <w:t xml:space="preserve">Content listed in Article 14(4)(b): nature of the incident, initial assessment, corrective or mitigating measures taken and those users can take, and where applicable how sensitive the information is.</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4.3</w:t>
            </w:r>
          </w:p>
        </w:tc>
        <w:tc>
          <w:p>
            <w:r>
              <w:rPr>
                <w:b w:val="false"/>
                <w:bCs w:val="false"/>
                <w:sz w:val="18"/>
                <w:szCs w:val="18"/>
              </w:rPr>
              <w:t xml:space="preserve">Unless already provided, submit a final report within one month after the submission of the incident notification.</w:t>
            </w:r>
          </w:p>
        </w:tc>
        <w:tc>
          <w:p>
            <w:r>
              <w:rPr>
                <w:b w:val="false"/>
                <w:bCs w:val="false"/>
                <w:sz w:val="18"/>
                <w:szCs w:val="18"/>
              </w:rPr>
              <w:t xml:space="preserve">Article 14(4), point (c)</w:t>
            </w:r>
          </w:p>
        </w:tc>
        <w:tc>
          <w:p>
            <w:r>
              <w:rPr>
                <w:b w:val="false"/>
                <w:bCs w:val="false"/>
                <w:sz w:val="18"/>
                <w:szCs w:val="18"/>
              </w:rPr>
              <w:t xml:space="preserve">Minimum content: detailed description including severity and impact; type of threat or root cause likely to have triggered it; applied and ongoing mitigation measures.</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bl>
    <w:p>
      <w:pPr>
        <w:pStyle w:val="Heading1"/>
      </w:pPr>
      <w:r>
        <w:t xml:space="preserve">5. Remediation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94"/>
        <w:gridCol w:w="1994"/>
        <w:gridCol w:w="1994"/>
        <w:gridCol w:w="1994"/>
        <w:gridCol w:w="1994"/>
        <w:gridCol w:w="1994"/>
        <w:gridCol w:w="1994"/>
      </w:tblGrid>
      <w:tr>
        <w:trPr>
          <w:tblHeader/>
        </w:trPr>
        <w:tc>
          <w:p>
            <w:r>
              <w:rPr>
                <w:b/>
                <w:bCs/>
                <w:sz w:val="18"/>
                <w:szCs w:val="18"/>
              </w:rPr>
              <w:t xml:space="preserve">Ref</w:t>
            </w:r>
          </w:p>
        </w:tc>
        <w:tc>
          <w:p>
            <w:r>
              <w:rPr>
                <w:b/>
                <w:bCs/>
                <w:sz w:val="18"/>
                <w:szCs w:val="18"/>
              </w:rPr>
              <w:t xml:space="preserve">Item</w:t>
            </w:r>
          </w:p>
        </w:tc>
        <w:tc>
          <w:p>
            <w:r>
              <w:rPr>
                <w:b/>
                <w:bCs/>
                <w:sz w:val="18"/>
                <w:szCs w:val="18"/>
              </w:rPr>
              <w:t xml:space="preserve">Provisions</w:t>
            </w:r>
          </w:p>
        </w:tc>
        <w:tc>
          <w:p>
            <w:r>
              <w:rPr>
                <w:b/>
                <w:bCs/>
                <w:sz w:val="18"/>
                <w:szCs w:val="18"/>
              </w:rPr>
              <w:t xml:space="preserve">Guidance</w:t>
            </w:r>
          </w:p>
        </w:tc>
        <w:tc>
          <w:p>
            <w:r>
              <w:rPr>
                <w:b/>
                <w:bCs/>
                <w:sz w:val="18"/>
                <w:szCs w:val="18"/>
              </w:rPr>
              <w:t xml:space="preserve">Owner (role)</w:t>
            </w:r>
          </w:p>
        </w:tc>
        <w:tc>
          <w:p>
            <w:r>
              <w:rPr>
                <w:b/>
                <w:bCs/>
                <w:sz w:val="18"/>
                <w:szCs w:val="18"/>
              </w:rPr>
              <w:t xml:space="preserve">Tool or channel</w:t>
            </w:r>
          </w:p>
        </w:tc>
        <w:tc>
          <w:p>
            <w:r>
              <w:rPr>
                <w:b/>
                <w:bCs/>
                <w:sz w:val="18"/>
                <w:szCs w:val="18"/>
              </w:rPr>
              <w:t xml:space="preserve">Evidence kept</w:t>
            </w:r>
          </w:p>
        </w:tc>
      </w:tr>
      <w:tr>
        <w:tc>
          <w:p>
            <w:r>
              <w:rPr>
                <w:b w:val="false"/>
                <w:bCs w:val="false"/>
                <w:sz w:val="18"/>
                <w:szCs w:val="18"/>
              </w:rPr>
              <w:t xml:space="preserve">5.1</w:t>
            </w:r>
          </w:p>
        </w:tc>
        <w:tc>
          <w:p>
            <w:r>
              <w:rPr>
                <w:b w:val="false"/>
                <w:bCs w:val="false"/>
                <w:sz w:val="18"/>
                <w:szCs w:val="18"/>
              </w:rPr>
              <w:t xml:space="preserve">Address and remediate the vulnerability without delay, in relation to the risks, including by providing a security update; where technically feasible, provide security updates separately from functionality updates.</w:t>
            </w:r>
          </w:p>
        </w:tc>
        <w:tc>
          <w:p>
            <w:r>
              <w:rPr>
                <w:b w:val="false"/>
                <w:bCs w:val="false"/>
                <w:sz w:val="18"/>
                <w:szCs w:val="18"/>
              </w:rPr>
              <w:t xml:space="preserve">Annex I, Part II, point 2; Article 13(8), first subparagraph</w:t>
            </w:r>
          </w:p>
        </w:tc>
        <w:tc>
          <w:p>
            <w:r>
              <w:rPr>
                <w:b w:val="false"/>
                <w:bCs w:val="false"/>
                <w:sz w:val="18"/>
                <w:szCs w:val="18"/>
              </w:rPr>
              <w:t xml:space="preserve">Part II, point (2), of Annex I.</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5.2</w:t>
            </w:r>
          </w:p>
        </w:tc>
        <w:tc>
          <w:p>
            <w:r>
              <w:rPr>
                <w:b w:val="false"/>
                <w:bCs w:val="false"/>
                <w:sz w:val="18"/>
                <w:szCs w:val="18"/>
              </w:rPr>
              <w:t xml:space="preserve">Test and review the fix and the security of the product.</w:t>
            </w:r>
          </w:p>
        </w:tc>
        <w:tc>
          <w:p>
            <w:r>
              <w:rPr>
                <w:b w:val="false"/>
                <w:bCs w:val="false"/>
                <w:sz w:val="18"/>
                <w:szCs w:val="18"/>
              </w:rPr>
              <w:t xml:space="preserve">Annex I, Part II, point 3</w:t>
            </w:r>
          </w:p>
        </w:tc>
        <w:tc>
          <w:p>
            <w:r>
              <w:rPr>
                <w:b w:val="false"/>
                <w:bCs w:val="false"/>
                <w:sz w:val="18"/>
                <w:szCs w:val="18"/>
              </w:rPr>
              <w:t xml:space="preserve">Part II, point (3), of Annex I requires effective and regular tests and reviews of the security of the product.</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bl>
    <w:p>
      <w:pPr>
        <w:pStyle w:val="Heading1"/>
      </w:pPr>
      <w:r>
        <w:t xml:space="preserve">6. Distribution and user information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94"/>
        <w:gridCol w:w="1994"/>
        <w:gridCol w:w="1994"/>
        <w:gridCol w:w="1994"/>
        <w:gridCol w:w="1994"/>
        <w:gridCol w:w="1994"/>
        <w:gridCol w:w="1994"/>
      </w:tblGrid>
      <w:tr>
        <w:trPr>
          <w:tblHeader/>
        </w:trPr>
        <w:tc>
          <w:p>
            <w:r>
              <w:rPr>
                <w:b/>
                <w:bCs/>
                <w:sz w:val="18"/>
                <w:szCs w:val="18"/>
              </w:rPr>
              <w:t xml:space="preserve">Ref</w:t>
            </w:r>
          </w:p>
        </w:tc>
        <w:tc>
          <w:p>
            <w:r>
              <w:rPr>
                <w:b/>
                <w:bCs/>
                <w:sz w:val="18"/>
                <w:szCs w:val="18"/>
              </w:rPr>
              <w:t xml:space="preserve">Item</w:t>
            </w:r>
          </w:p>
        </w:tc>
        <w:tc>
          <w:p>
            <w:r>
              <w:rPr>
                <w:b/>
                <w:bCs/>
                <w:sz w:val="18"/>
                <w:szCs w:val="18"/>
              </w:rPr>
              <w:t xml:space="preserve">Provisions</w:t>
            </w:r>
          </w:p>
        </w:tc>
        <w:tc>
          <w:p>
            <w:r>
              <w:rPr>
                <w:b/>
                <w:bCs/>
                <w:sz w:val="18"/>
                <w:szCs w:val="18"/>
              </w:rPr>
              <w:t xml:space="preserve">Guidance</w:t>
            </w:r>
          </w:p>
        </w:tc>
        <w:tc>
          <w:p>
            <w:r>
              <w:rPr>
                <w:b/>
                <w:bCs/>
                <w:sz w:val="18"/>
                <w:szCs w:val="18"/>
              </w:rPr>
              <w:t xml:space="preserve">Owner (role)</w:t>
            </w:r>
          </w:p>
        </w:tc>
        <w:tc>
          <w:p>
            <w:r>
              <w:rPr>
                <w:b/>
                <w:bCs/>
                <w:sz w:val="18"/>
                <w:szCs w:val="18"/>
              </w:rPr>
              <w:t xml:space="preserve">Tool or channel</w:t>
            </w:r>
          </w:p>
        </w:tc>
        <w:tc>
          <w:p>
            <w:r>
              <w:rPr>
                <w:b/>
                <w:bCs/>
                <w:sz w:val="18"/>
                <w:szCs w:val="18"/>
              </w:rPr>
              <w:t xml:space="preserve">Evidence kept</w:t>
            </w:r>
          </w:p>
        </w:tc>
      </w:tr>
      <w:tr>
        <w:tc>
          <w:p>
            <w:r>
              <w:rPr>
                <w:b w:val="false"/>
                <w:bCs w:val="false"/>
                <w:sz w:val="18"/>
                <w:szCs w:val="18"/>
              </w:rPr>
              <w:t xml:space="preserve">6.1</w:t>
            </w:r>
          </w:p>
        </w:tc>
        <w:tc>
          <w:p>
            <w:r>
              <w:rPr>
                <w:b w:val="false"/>
                <w:bCs w:val="false"/>
                <w:sz w:val="18"/>
                <w:szCs w:val="18"/>
              </w:rPr>
              <w:t xml:space="preserve">Distribute the update through a secure mechanism, automatically where applicable for security updates.</w:t>
            </w:r>
          </w:p>
        </w:tc>
        <w:tc>
          <w:p>
            <w:r>
              <w:rPr>
                <w:b w:val="false"/>
                <w:bCs w:val="false"/>
                <w:sz w:val="18"/>
                <w:szCs w:val="18"/>
              </w:rPr>
              <w:t xml:space="preserve">Annex I, Part II, point 7</w:t>
            </w:r>
          </w:p>
        </w:tc>
        <w:tc>
          <w:p>
            <w:r>
              <w:rPr>
                <w:b w:val="false"/>
                <w:bCs w:val="false"/>
                <w:sz w:val="18"/>
                <w:szCs w:val="18"/>
              </w:rPr>
              <w:t xml:space="preserve">Part II, point (7), of Annex I.</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6.2</w:t>
            </w:r>
          </w:p>
        </w:tc>
        <w:tc>
          <w:p>
            <w:r>
              <w:rPr>
                <w:b w:val="false"/>
                <w:bCs w:val="false"/>
                <w:sz w:val="18"/>
                <w:szCs w:val="18"/>
              </w:rPr>
              <w:t xml:space="preserve">Disseminate the security update without delay and, unless otherwise agreed with a business user for a tailor-made product, free of charge, with advisory messages giving users the relevant information.</w:t>
            </w:r>
          </w:p>
        </w:tc>
        <w:tc>
          <w:p>
            <w:r>
              <w:rPr>
                <w:b w:val="false"/>
                <w:bCs w:val="false"/>
                <w:sz w:val="18"/>
                <w:szCs w:val="18"/>
              </w:rPr>
              <w:t xml:space="preserve">Annex I, Part II, point 8</w:t>
            </w:r>
          </w:p>
        </w:tc>
        <w:tc>
          <w:p>
            <w:r>
              <w:rPr>
                <w:b w:val="false"/>
                <w:bCs w:val="false"/>
                <w:sz w:val="18"/>
                <w:szCs w:val="18"/>
              </w:rPr>
              <w:t xml:space="preserve">Part II, point (8), of Annex I.</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6.3</w:t>
            </w:r>
          </w:p>
        </w:tc>
        <w:tc>
          <w:p>
            <w:r>
              <w:rPr>
                <w:b w:val="false"/>
                <w:bCs w:val="false"/>
                <w:sz w:val="18"/>
                <w:szCs w:val="18"/>
              </w:rPr>
              <w:t xml:space="preserve">Inform the impacted users, and where appropriate all users, of an actively exploited vulnerability or severe incident and of the risk mitigation and corrective measures they can deploy.</w:t>
            </w:r>
          </w:p>
        </w:tc>
        <w:tc>
          <w:p>
            <w:r>
              <w:rPr>
                <w:b w:val="false"/>
                <w:bCs w:val="false"/>
                <w:sz w:val="18"/>
                <w:szCs w:val="18"/>
              </w:rPr>
              <w:t xml:space="preserve">Article 14(8)</w:t>
            </w:r>
          </w:p>
        </w:tc>
        <w:tc>
          <w:p>
            <w:r>
              <w:rPr>
                <w:b w:val="false"/>
                <w:bCs w:val="false"/>
                <w:sz w:val="18"/>
                <w:szCs w:val="18"/>
              </w:rPr>
              <w:t xml:space="preserve">Article 14(8) mentions, where appropriate, a structured, machine-readable format that is easily automatically processable.</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bl>
    <w:p>
      <w:pPr>
        <w:pStyle w:val="Heading1"/>
      </w:pPr>
      <w:r>
        <w:t xml:space="preserve">7. Disclosure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94"/>
        <w:gridCol w:w="1994"/>
        <w:gridCol w:w="1994"/>
        <w:gridCol w:w="1994"/>
        <w:gridCol w:w="1994"/>
        <w:gridCol w:w="1994"/>
        <w:gridCol w:w="1994"/>
      </w:tblGrid>
      <w:tr>
        <w:trPr>
          <w:tblHeader/>
        </w:trPr>
        <w:tc>
          <w:p>
            <w:r>
              <w:rPr>
                <w:b/>
                <w:bCs/>
                <w:sz w:val="18"/>
                <w:szCs w:val="18"/>
              </w:rPr>
              <w:t xml:space="preserve">Ref</w:t>
            </w:r>
          </w:p>
        </w:tc>
        <w:tc>
          <w:p>
            <w:r>
              <w:rPr>
                <w:b/>
                <w:bCs/>
                <w:sz w:val="18"/>
                <w:szCs w:val="18"/>
              </w:rPr>
              <w:t xml:space="preserve">Item</w:t>
            </w:r>
          </w:p>
        </w:tc>
        <w:tc>
          <w:p>
            <w:r>
              <w:rPr>
                <w:b/>
                <w:bCs/>
                <w:sz w:val="18"/>
                <w:szCs w:val="18"/>
              </w:rPr>
              <w:t xml:space="preserve">Provisions</w:t>
            </w:r>
          </w:p>
        </w:tc>
        <w:tc>
          <w:p>
            <w:r>
              <w:rPr>
                <w:b/>
                <w:bCs/>
                <w:sz w:val="18"/>
                <w:szCs w:val="18"/>
              </w:rPr>
              <w:t xml:space="preserve">Guidance</w:t>
            </w:r>
          </w:p>
        </w:tc>
        <w:tc>
          <w:p>
            <w:r>
              <w:rPr>
                <w:b/>
                <w:bCs/>
                <w:sz w:val="18"/>
                <w:szCs w:val="18"/>
              </w:rPr>
              <w:t xml:space="preserve">Owner (role)</w:t>
            </w:r>
          </w:p>
        </w:tc>
        <w:tc>
          <w:p>
            <w:r>
              <w:rPr>
                <w:b/>
                <w:bCs/>
                <w:sz w:val="18"/>
                <w:szCs w:val="18"/>
              </w:rPr>
              <w:t xml:space="preserve">Tool or channel</w:t>
            </w:r>
          </w:p>
        </w:tc>
        <w:tc>
          <w:p>
            <w:r>
              <w:rPr>
                <w:b/>
                <w:bCs/>
                <w:sz w:val="18"/>
                <w:szCs w:val="18"/>
              </w:rPr>
              <w:t xml:space="preserve">Evidence kept</w:t>
            </w:r>
          </w:p>
        </w:tc>
      </w:tr>
      <w:tr>
        <w:tc>
          <w:p>
            <w:r>
              <w:rPr>
                <w:b w:val="false"/>
                <w:bCs w:val="false"/>
                <w:sz w:val="18"/>
                <w:szCs w:val="18"/>
              </w:rPr>
              <w:t xml:space="preserve">7.1</w:t>
            </w:r>
          </w:p>
        </w:tc>
        <w:tc>
          <w:p>
            <w:r>
              <w:rPr>
                <w:b w:val="false"/>
                <w:bCs w:val="false"/>
                <w:sz w:val="18"/>
                <w:szCs w:val="18"/>
              </w:rPr>
              <w:t xml:space="preserve">Once a security update is available, share and publicly disclose information about the fixed vulnerability: description, affected product identification, impacts, severity and remediation information.</w:t>
            </w:r>
          </w:p>
        </w:tc>
        <w:tc>
          <w:p>
            <w:r>
              <w:rPr>
                <w:b w:val="false"/>
                <w:bCs w:val="false"/>
                <w:sz w:val="18"/>
                <w:szCs w:val="18"/>
              </w:rPr>
              <w:t xml:space="preserve">Annex I, Part II, point 4</w:t>
            </w:r>
          </w:p>
        </w:tc>
        <w:tc>
          <w:p>
            <w:r>
              <w:rPr>
                <w:b w:val="false"/>
                <w:bCs w:val="false"/>
                <w:sz w:val="18"/>
                <w:szCs w:val="18"/>
              </w:rPr>
              <w:t xml:space="preserve">In duly justified cases where the security risks of publication outweigh its benefits, publication may be delayed until users have had the possibility to apply the patch (Part II, point (4), of Annex I). Record the justification.</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bl>
    <w:p>
      <w:pPr>
        <w:pStyle w:val="Heading1"/>
      </w:pPr>
      <w:r>
        <w:t xml:space="preserve">8. Documentation and follow-up</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94"/>
        <w:gridCol w:w="1994"/>
        <w:gridCol w:w="1994"/>
        <w:gridCol w:w="1994"/>
        <w:gridCol w:w="1994"/>
        <w:gridCol w:w="1994"/>
        <w:gridCol w:w="1994"/>
      </w:tblGrid>
      <w:tr>
        <w:trPr>
          <w:tblHeader/>
        </w:trPr>
        <w:tc>
          <w:p>
            <w:r>
              <w:rPr>
                <w:b/>
                <w:bCs/>
                <w:sz w:val="18"/>
                <w:szCs w:val="18"/>
              </w:rPr>
              <w:t xml:space="preserve">Ref</w:t>
            </w:r>
          </w:p>
        </w:tc>
        <w:tc>
          <w:p>
            <w:r>
              <w:rPr>
                <w:b/>
                <w:bCs/>
                <w:sz w:val="18"/>
                <w:szCs w:val="18"/>
              </w:rPr>
              <w:t xml:space="preserve">Item</w:t>
            </w:r>
          </w:p>
        </w:tc>
        <w:tc>
          <w:p>
            <w:r>
              <w:rPr>
                <w:b/>
                <w:bCs/>
                <w:sz w:val="18"/>
                <w:szCs w:val="18"/>
              </w:rPr>
              <w:t xml:space="preserve">Provisions</w:t>
            </w:r>
          </w:p>
        </w:tc>
        <w:tc>
          <w:p>
            <w:r>
              <w:rPr>
                <w:b/>
                <w:bCs/>
                <w:sz w:val="18"/>
                <w:szCs w:val="18"/>
              </w:rPr>
              <w:t xml:space="preserve">Guidance</w:t>
            </w:r>
          </w:p>
        </w:tc>
        <w:tc>
          <w:p>
            <w:r>
              <w:rPr>
                <w:b/>
                <w:bCs/>
                <w:sz w:val="18"/>
                <w:szCs w:val="18"/>
              </w:rPr>
              <w:t xml:space="preserve">Owner (role)</w:t>
            </w:r>
          </w:p>
        </w:tc>
        <w:tc>
          <w:p>
            <w:r>
              <w:rPr>
                <w:b/>
                <w:bCs/>
                <w:sz w:val="18"/>
                <w:szCs w:val="18"/>
              </w:rPr>
              <w:t xml:space="preserve">Tool or channel</w:t>
            </w:r>
          </w:p>
        </w:tc>
        <w:tc>
          <w:p>
            <w:r>
              <w:rPr>
                <w:b/>
                <w:bCs/>
                <w:sz w:val="18"/>
                <w:szCs w:val="18"/>
              </w:rPr>
              <w:t xml:space="preserve">Evidence kept</w:t>
            </w:r>
          </w:p>
        </w:tc>
      </w:tr>
      <w:tr>
        <w:tc>
          <w:p>
            <w:r>
              <w:rPr>
                <w:b w:val="false"/>
                <w:bCs w:val="false"/>
                <w:sz w:val="18"/>
                <w:szCs w:val="18"/>
              </w:rPr>
              <w:t xml:space="preserve">8.1</w:t>
            </w:r>
          </w:p>
        </w:tc>
        <w:tc>
          <w:p>
            <w:r>
              <w:rPr>
                <w:b w:val="false"/>
                <w:bCs w:val="false"/>
                <w:sz w:val="18"/>
                <w:szCs w:val="18"/>
              </w:rPr>
              <w:t xml:space="preserve">Document the vulnerability, the information received from third parties and the actions taken, and update the cybersecurity risk assessment where applicable.</w:t>
            </w:r>
          </w:p>
        </w:tc>
        <w:tc>
          <w:p>
            <w:r>
              <w:rPr>
                <w:b w:val="false"/>
                <w:bCs w:val="false"/>
                <w:sz w:val="18"/>
                <w:szCs w:val="18"/>
              </w:rPr>
              <w:t xml:space="preserve">Article 13(7); Article 13(3)</w:t>
            </w:r>
          </w:p>
        </w:tc>
        <w:tc>
          <w:p>
            <w:r>
              <w:rPr>
                <w:b w:val="false"/>
                <w:bCs w:val="false"/>
                <w:sz w:val="18"/>
                <w:szCs w:val="18"/>
              </w:rPr>
              <w:t xml:space="preserve">Article 13(7).</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8.2</w:t>
            </w:r>
          </w:p>
        </w:tc>
        <w:tc>
          <w:p>
            <w:r>
              <w:rPr>
                <w:b w:val="false"/>
                <w:bCs w:val="false"/>
                <w:sz w:val="18"/>
                <w:szCs w:val="18"/>
              </w:rPr>
              <w:t xml:space="preserve">Keep each security update made available during the support period available for at least 10 years after issue or for the remainder of the support period, whichever is longer.</w:t>
            </w:r>
          </w:p>
        </w:tc>
        <w:tc>
          <w:p>
            <w:r>
              <w:rPr>
                <w:b w:val="false"/>
                <w:bCs w:val="false"/>
                <w:sz w:val="18"/>
                <w:szCs w:val="18"/>
              </w:rPr>
              <w:t xml:space="preserve">Article 13(9)</w:t>
            </w:r>
          </w:p>
        </w:tc>
        <w:tc>
          <w:p>
            <w:r>
              <w:rPr>
                <w:b w:val="false"/>
                <w:bCs w:val="false"/>
                <w:sz w:val="18"/>
                <w:szCs w:val="18"/>
              </w:rPr>
              <w:t xml:space="preserve">Article 13(9).</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8.3</w:t>
            </w:r>
          </w:p>
        </w:tc>
        <w:tc>
          <w:p>
            <w:r>
              <w:rPr>
                <w:b w:val="false"/>
                <w:bCs w:val="false"/>
                <w:sz w:val="18"/>
                <w:szCs w:val="18"/>
              </w:rPr>
              <w:t xml:space="preserve">Recommendation: hold a short review after each case and adjust the workflow, contacts and templates.</w:t>
            </w:r>
          </w:p>
        </w:tc>
        <w:tc>
          <w:p>
            <w:r>
              <w:rPr>
                <w:b w:val="false"/>
                <w:bCs w:val="false"/>
                <w:sz w:val="18"/>
                <w:szCs w:val="18"/>
              </w:rPr>
              <w:t xml:space="preserve"/>
            </w:r>
          </w:p>
        </w:tc>
        <w:tc>
          <w:p>
            <w:r>
              <w:rPr>
                <w:b w:val="false"/>
                <w:bCs w:val="false"/>
                <w:sz w:val="18"/>
                <w:szCs w:val="18"/>
              </w:rPr>
              <w:t xml:space="preserve">Good practice, not a requirement of the Regulation.</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8.4</w:t>
            </w:r>
          </w:p>
        </w:tc>
        <w:tc>
          <w:p>
            <w:r>
              <w:rPr>
                <w:b w:val="false"/>
                <w:bCs w:val="false"/>
                <w:sz w:val="18"/>
                <w:szCs w:val="18"/>
              </w:rPr>
              <w:t xml:space="preserve">Optional: voluntary notification of other vulnerabilities, cyber threats, incidents or near misses to a CSIRT designated as coordinator or to ENISA.</w:t>
            </w:r>
          </w:p>
        </w:tc>
        <w:tc>
          <w:p>
            <w:r>
              <w:rPr>
                <w:b w:val="false"/>
                <w:bCs w:val="false"/>
                <w:sz w:val="18"/>
                <w:szCs w:val="18"/>
              </w:rPr>
              <w:t xml:space="preserve">Article 15(1); Article 15(2)</w:t>
            </w:r>
          </w:p>
        </w:tc>
        <w:tc>
          <w:p>
            <w:r>
              <w:rPr>
                <w:b w:val="false"/>
                <w:bCs w:val="false"/>
                <w:sz w:val="18"/>
                <w:szCs w:val="18"/>
              </w:rPr>
              <w:t xml:space="preserve">Article 15 allows voluntary reporting by manufacturers and other persons; Article 15(5) addresses confidentiality and states that it does not impose additional obligations on the notifying person to which it would not otherwise have been subject.</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bl>
    <w:p>
      <w:pPr>
        <w:pStyle w:val="Heading1"/>
      </w:pPr>
      <w:r>
        <w:t xml:space="preserve">Sources</w:t>
      </w:r>
    </w:p>
    <w:p>
      <w:r>
        <w:t xml:space="preserve">• Regulation (EU) 2024/2847 (Cyber Resilience Act), OJ L, 2024/2847, 20.11.2024, as corrected — Article 3 (points (42) and (44)), Article 13(3) and (6) to (9) and (17), Articles 14, 15 and 16, Annex I Part II.</w:t>
      </w:r>
    </w:p>
    <w:p>
      <w:r>
        <w:t xml:space="preserve">• Official text: https://eur-lex.europa.eu/eli/reg/2024/2847/oj — read on regulation-cra.eu at /regulation.</w:t>
      </w:r>
    </w:p>
    <w:sectPr>
      <w:footerReference w:type="default" r:id="rId6"/>
      <w:pgSz w:w="16838" w:h="11906" w:orient="landscape"/>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regulation-cra.eu — Independent information and training website. Not affiliated with EU institutions.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Vulnerability handling workflow template</dc:title>
  <dc:creator>regulation-cra.eu</dc:creator>
  <dc:description>resource.vulnerability-handling-workflow v1.0</dc:description>
  <cp:lastModifiedBy>Un-named</cp:lastModifiedBy>
  <cp:revision>1</cp:revision>
  <dcterms:created xsi:type="dcterms:W3CDTF">2026-11-02T13:16:59.708Z</dcterms:created>
  <dcterms:modified xsi:type="dcterms:W3CDTF">2026-11-02T13:16:59.708Z</dcterms:modified>
</cp:coreProperties>
</file>

<file path=docProps/custom.xml><?xml version="1.0" encoding="utf-8"?>
<Properties xmlns="http://schemas.openxmlformats.org/officeDocument/2006/custom-properties" xmlns:vt="http://schemas.openxmlformats.org/officeDocument/2006/docPropsVTypes"/>
</file>