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CRA scoping checklist</w:t>
      </w:r>
    </w:p>
    <w:p>
      <w:r>
        <w:t xml:space="preserve">Structured questions to document whether and how Regulation (EU) 2024/2847 may concern a product — no verdict</w:t>
      </w:r>
    </w:p>
    <w:p>
      <w:r>
        <w:rPr>
          <w:i/>
          <w:iCs/>
        </w:rPr>
        <w:t xml:space="preserve">Version 1.0</w:t>
      </w:r>
    </w:p>
    <w:p>
      <w:pPr>
        <w:pStyle w:val="Heading1"/>
      </w:pPr>
      <w:r>
        <w:t xml:space="preserve">Purpose</w:t>
      </w:r>
    </w:p>
    <w:p>
      <w:r>
        <w:t xml:space="preserve">This checklist helps manufacturers, importers and distributors record, product by product, the facts that matter when examining whether the Cyber Resilience Act (Regulation (EU) 2024/2847) may apply and in which role. Each item points to the provisions of the official text it is based on. It does not produce a conclusion: the answers are a starting point for a documented analysis.</w:t>
      </w:r>
    </w:p>
    <w:p>
      <w:pPr>
        <w:pStyle w:val="Heading1"/>
      </w:pPr>
      <w:r>
        <w:t xml:space="preserve">How to use</w:t>
      </w:r>
    </w:p>
    <w:p>
      <w:r>
        <w:t xml:space="preserve">1. Use one copy of the checklist per product (or per product version where versions differ in functionality or market).</w:t>
      </w:r>
    </w:p>
    <w:p>
      <w:r>
        <w:t xml:space="preserve">2. For each item, read the cited provisions in the official text before answering.</w:t>
      </w:r>
    </w:p>
    <w:p>
      <w:r>
        <w:t xml:space="preserve">3. Record the answer, the evidence (documents, contracts, architecture diagrams) and the person who checked it in the Status, Owner and Notes columns.</w:t>
      </w:r>
    </w:p>
    <w:p>
      <w:r>
        <w:t xml:space="preserve">4. Mark items as 'Unclear' rather than guessing, and list them for legal or expert review.</w:t>
      </w:r>
    </w:p>
    <w:p>
      <w:r>
        <w:t xml:space="preserve">5. Date the completed checklist and review it whenever the product, its intended purpose, its market or its distribution model changes.</w:t>
      </w:r>
    </w:p>
    <w:p>
      <w:pPr>
        <w:pStyle w:val="Heading1"/>
      </w:pPr>
      <w:r>
        <w:t xml:space="preserve">Limits</w:t>
      </w:r>
    </w:p>
    <w:p>
      <w:r>
        <w:t xml:space="preserve">This checklist is an orientation and documentation aid prepared by regulation-cra.eu. It is not legal advice, does not determine whether the Regulation applies to a given product and does not establish compliance. It reflects the text of Regulation (EU) 2024/2847 as published in the Official Journal with its corrigenda; delegated and implementing acts, harmonised standards and official guidance may add detail. Only the texts published in the Official Journal of the European Union are authentic.</w:t>
      </w:r>
    </w:p>
    <w:p>
      <w:pPr>
        <w:pStyle w:val="Heading1"/>
      </w:pPr>
      <w:r>
        <w:t xml:space="preserve">1. The product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1.1</w:t>
            </w:r>
          </w:p>
        </w:tc>
        <w:tc>
          <w:p>
            <w:r>
              <w:rPr>
                <w:b w:val="false"/>
                <w:bCs w:val="false"/>
                <w:sz w:val="18"/>
                <w:szCs w:val="18"/>
              </w:rPr>
              <w:t xml:space="preserve">Is the product a software or hardware product (including software or hardware components placed on the market separately)?</w:t>
            </w:r>
          </w:p>
        </w:tc>
        <w:tc>
          <w:p>
            <w:r>
              <w:rPr>
                <w:b w:val="false"/>
                <w:bCs w:val="false"/>
                <w:sz w:val="18"/>
                <w:szCs w:val="18"/>
              </w:rPr>
              <w:t xml:space="preserve">Article 3, point (1); Article 3, point (4); Article 3, point (5); Article 3, point (6)</w:t>
            </w:r>
          </w:p>
        </w:tc>
        <w:tc>
          <w:p>
            <w:r>
              <w:rPr>
                <w:b w:val="false"/>
                <w:bCs w:val="false"/>
                <w:sz w:val="18"/>
                <w:szCs w:val="18"/>
              </w:rPr>
              <w:t xml:space="preserve">Article 3, point (1), defines a 'product with digital elements' as a software or hardware product and its remote data processing solutions, including software or hardware components placed on the market separately. List the software and hardware elements that make up the product.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1.2</w:t>
            </w:r>
          </w:p>
        </w:tc>
        <w:tc>
          <w:p>
            <w:r>
              <w:rPr>
                <w:b w:val="false"/>
                <w:bCs w:val="false"/>
                <w:sz w:val="18"/>
                <w:szCs w:val="18"/>
              </w:rPr>
              <w:t xml:space="preserve">Does the product rely on data processing at a distance whose software is designed and developed by you (or under your responsibility) and without which one of its functions could not be performed?</w:t>
            </w:r>
          </w:p>
        </w:tc>
        <w:tc>
          <w:p>
            <w:r>
              <w:rPr>
                <w:b w:val="false"/>
                <w:bCs w:val="false"/>
                <w:sz w:val="18"/>
                <w:szCs w:val="18"/>
              </w:rPr>
              <w:t xml:space="preserve">Article 3, point (2); Recital 11; Recital 12</w:t>
            </w:r>
          </w:p>
        </w:tc>
        <w:tc>
          <w:p>
            <w:r>
              <w:rPr>
                <w:b w:val="false"/>
                <w:bCs w:val="false"/>
                <w:sz w:val="18"/>
                <w:szCs w:val="18"/>
              </w:rPr>
              <w:t xml:space="preserve">Such processing is a 'remote data processing' solution under Article 3, point (2), and is part of the product definition. Recital 12 indicates that websites that do not support the functionality of a product, and cloud services designed and developed outside the responsibility of the manufacturer, are not covered by that notion. List the back-end services, APIs and cloud functions concerned.</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1.3</w:t>
            </w:r>
          </w:p>
        </w:tc>
        <w:tc>
          <w:p>
            <w:r>
              <w:rPr>
                <w:b w:val="false"/>
                <w:bCs w:val="false"/>
                <w:sz w:val="18"/>
                <w:szCs w:val="18"/>
              </w:rPr>
              <w:t xml:space="preserve">Does the intended purpose or reasonably foreseeable use of the product include a direct or indirect logical or physical data connection to a device or network?</w:t>
            </w:r>
          </w:p>
        </w:tc>
        <w:tc>
          <w:p>
            <w:r>
              <w:rPr>
                <w:b w:val="false"/>
                <w:bCs w:val="false"/>
                <w:sz w:val="18"/>
                <w:szCs w:val="18"/>
              </w:rPr>
              <w:t xml:space="preserve">Article 2(1); Article 3, point (8); Article 3, point (9); Article 3, point (10); Article 3, point (23); Article 3, point (24)</w:t>
            </w:r>
          </w:p>
        </w:tc>
        <w:tc>
          <w:p>
            <w:r>
              <w:rPr>
                <w:b w:val="false"/>
                <w:bCs w:val="false"/>
                <w:sz w:val="18"/>
                <w:szCs w:val="18"/>
              </w:rPr>
              <w:t xml:space="preserve">Article 2(1) refers to products made available on the market whose intended purpose or reasonably foreseeable use includes such a connection. Record the interfaces (network, radio, wired, software interfaces) and whether the connection is direct or takes place as part of a larger system.</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2. Market and timing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2.1</w:t>
            </w:r>
          </w:p>
        </w:tc>
        <w:tc>
          <w:p>
            <w:r>
              <w:rPr>
                <w:b w:val="false"/>
                <w:bCs w:val="false"/>
                <w:sz w:val="18"/>
                <w:szCs w:val="18"/>
              </w:rPr>
              <w:t xml:space="preserve">Is the product supplied for distribution or use on the Union market in the course of a commercial activity, whether in return for payment or free of charge?</w:t>
            </w:r>
          </w:p>
        </w:tc>
        <w:tc>
          <w:p>
            <w:r>
              <w:rPr>
                <w:b w:val="false"/>
                <w:bCs w:val="false"/>
                <w:sz w:val="18"/>
                <w:szCs w:val="18"/>
              </w:rPr>
              <w:t xml:space="preserve">Article 3, point (21); Article 3, point (22); Article 2(1)</w:t>
            </w:r>
          </w:p>
        </w:tc>
        <w:tc>
          <w:p>
            <w:r>
              <w:rPr>
                <w:b w:val="false"/>
                <w:bCs w:val="false"/>
                <w:sz w:val="18"/>
                <w:szCs w:val="18"/>
              </w:rPr>
              <w:t xml:space="preserve">This is the definition of 'making available on the market' (Article 3, point (22)); 'placing on the market' is the first making available (Article 3, point (21)). Record how, where and on what terms the product is supplied.</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2.2</w:t>
            </w:r>
          </w:p>
        </w:tc>
        <w:tc>
          <w:p>
            <w:r>
              <w:rPr>
                <w:b w:val="false"/>
                <w:bCs w:val="false"/>
                <w:sz w:val="18"/>
                <w:szCs w:val="18"/>
              </w:rPr>
              <w:t xml:space="preserve">When was, or will be, each version first placed on the Union market — before or after 11 December 2027?</w:t>
            </w:r>
          </w:p>
        </w:tc>
        <w:tc>
          <w:p>
            <w:r>
              <w:rPr>
                <w:b w:val="false"/>
                <w:bCs w:val="false"/>
                <w:sz w:val="18"/>
                <w:szCs w:val="18"/>
              </w:rPr>
              <w:t xml:space="preserve">Article 71(2); Article 69(2); Article 69(3)</w:t>
            </w:r>
          </w:p>
        </w:tc>
        <w:tc>
          <w:p>
            <w:r>
              <w:rPr>
                <w:b w:val="false"/>
                <w:bCs w:val="false"/>
                <w:sz w:val="18"/>
                <w:szCs w:val="18"/>
              </w:rPr>
              <w:t xml:space="preserve">The Regulation applies from 11 December 2027 (Article 71(2)). Products placed on the market before that date are subject to its requirements only if they undergo a substantial modification from that date (Article 69(2)); the reporting obligations of Article 14, which apply from 11 September 2026, also cover in-scope products placed on the market before 11 December 2027 (Article 69(3)).</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2.3</w:t>
            </w:r>
          </w:p>
        </w:tc>
        <w:tc>
          <w:p>
            <w:r>
              <w:rPr>
                <w:b w:val="false"/>
                <w:bCs w:val="false"/>
                <w:sz w:val="18"/>
                <w:szCs w:val="18"/>
              </w:rPr>
              <w:t xml:space="preserve">Have changes made after placing on the market affected compliance with the essential cybersecurity requirements of Part I of Annex I, or modified the intended purpose for which the product was assessed?</w:t>
            </w:r>
          </w:p>
        </w:tc>
        <w:tc>
          <w:p>
            <w:r>
              <w:rPr>
                <w:b w:val="false"/>
                <w:bCs w:val="false"/>
                <w:sz w:val="18"/>
                <w:szCs w:val="18"/>
              </w:rPr>
              <w:t xml:space="preserve">Article 3, point (30); Article 69(2); Article 22(1)</w:t>
            </w:r>
          </w:p>
        </w:tc>
        <w:tc>
          <w:p>
            <w:r>
              <w:rPr>
                <w:b w:val="false"/>
                <w:bCs w:val="false"/>
                <w:sz w:val="18"/>
                <w:szCs w:val="18"/>
              </w:rPr>
              <w:t xml:space="preserve">Such changes correspond to the definition of 'substantial modification' (Article 3, point (30)). Keep a change log per version so that this question can be answered later.</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3. Free and open-source software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3.1</w:t>
            </w:r>
          </w:p>
        </w:tc>
        <w:tc>
          <w:p>
            <w:r>
              <w:rPr>
                <w:b w:val="false"/>
                <w:bCs w:val="false"/>
                <w:sz w:val="18"/>
                <w:szCs w:val="18"/>
              </w:rPr>
              <w:t xml:space="preserve">Is the product, or the part you supply, free and open-source software?</w:t>
            </w:r>
          </w:p>
        </w:tc>
        <w:tc>
          <w:p>
            <w:r>
              <w:rPr>
                <w:b w:val="false"/>
                <w:bCs w:val="false"/>
                <w:sz w:val="18"/>
                <w:szCs w:val="18"/>
              </w:rPr>
              <w:t xml:space="preserve">Article 3, point (48)</w:t>
            </w:r>
          </w:p>
        </w:tc>
        <w:tc>
          <w:p>
            <w:r>
              <w:rPr>
                <w:b w:val="false"/>
                <w:bCs w:val="false"/>
                <w:sz w:val="18"/>
                <w:szCs w:val="18"/>
              </w:rPr>
              <w:t xml:space="preserve">Article 3, point (48): software the source code of which is openly shared and which is made available under a free and open-source licence providing for all rights to make it freely accessible, usable, modifiable and redistributable.</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3.2</w:t>
            </w:r>
          </w:p>
        </w:tc>
        <w:tc>
          <w:p>
            <w:r>
              <w:rPr>
                <w:b w:val="false"/>
                <w:bCs w:val="false"/>
                <w:sz w:val="18"/>
                <w:szCs w:val="18"/>
              </w:rPr>
              <w:t xml:space="preserve">If so, is it monetised or otherwise supplied in the course of a commercial activity?</w:t>
            </w:r>
          </w:p>
        </w:tc>
        <w:tc>
          <w:p>
            <w:r>
              <w:rPr>
                <w:b w:val="false"/>
                <w:bCs w:val="false"/>
                <w:sz w:val="18"/>
                <w:szCs w:val="18"/>
              </w:rPr>
              <w:t xml:space="preserve">Recital 17; Recital 18; Article 3, point (22)</w:t>
            </w:r>
          </w:p>
        </w:tc>
        <w:tc>
          <w:p>
            <w:r>
              <w:rPr>
                <w:b w:val="false"/>
                <w:bCs w:val="false"/>
                <w:sz w:val="18"/>
                <w:szCs w:val="18"/>
              </w:rPr>
              <w:t xml:space="preserve">Recital 18 explains that only free and open-source software supplied in the course of a commercial activity should fall within the scope, that the circumstances of development or financing should not be taken into account, and that the provision of free and open-source software not monetised by its manufacturers should not be considered a commercial activity. Record the facts (pricing, paid support, monetisation, integration into monetised products).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3.3</w:t>
            </w:r>
          </w:p>
        </w:tc>
        <w:tc>
          <w:p>
            <w:r>
              <w:rPr>
                <w:b w:val="false"/>
                <w:bCs w:val="false"/>
                <w:sz w:val="18"/>
                <w:szCs w:val="18"/>
              </w:rPr>
              <w:t xml:space="preserve">Is your organisation a legal person that systematically provides sustained support for the development of free and open-source software intended for commercial activities and ensures its viability?</w:t>
            </w:r>
          </w:p>
        </w:tc>
        <w:tc>
          <w:p>
            <w:r>
              <w:rPr>
                <w:b w:val="false"/>
                <w:bCs w:val="false"/>
                <w:sz w:val="18"/>
                <w:szCs w:val="18"/>
              </w:rPr>
              <w:t xml:space="preserve">Article 3, point (14); Article 24; Recital 19</w:t>
            </w:r>
          </w:p>
        </w:tc>
        <w:tc>
          <w:p>
            <w:r>
              <w:rPr>
                <w:b w:val="false"/>
                <w:bCs w:val="false"/>
                <w:sz w:val="18"/>
                <w:szCs w:val="18"/>
              </w:rPr>
              <w:t xml:space="preserve">This is the definition of an 'open-source software steward' (Article 3, point (14)), which has its own obligations under Article 24.</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3.4</w:t>
            </w:r>
          </w:p>
        </w:tc>
        <w:tc>
          <w:p>
            <w:r>
              <w:rPr>
                <w:b w:val="false"/>
                <w:bCs w:val="false"/>
                <w:sz w:val="18"/>
                <w:szCs w:val="18"/>
              </w:rPr>
              <w:t xml:space="preserve">Does the product integrate third-party components, including free and open-source components?</w:t>
            </w:r>
          </w:p>
        </w:tc>
        <w:tc>
          <w:p>
            <w:r>
              <w:rPr>
                <w:b w:val="false"/>
                <w:bCs w:val="false"/>
                <w:sz w:val="18"/>
                <w:szCs w:val="18"/>
              </w:rPr>
              <w:t xml:space="preserve">Article 13(5); Article 13(6)</w:t>
            </w:r>
          </w:p>
        </w:tc>
        <w:tc>
          <w:p>
            <w:r>
              <w:rPr>
                <w:b w:val="false"/>
                <w:bCs w:val="false"/>
                <w:sz w:val="18"/>
                <w:szCs w:val="18"/>
              </w:rPr>
              <w:t xml:space="preserve">Manufacturers must exercise due diligence when integrating third-party components (Article 13(5)) and report vulnerabilities identified in integrated components to the person or entity manufacturing or maintaining them (Article 13(6)). Keep an inventory of components.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4. Exclusions and other Union legislation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4.1</w:t>
            </w:r>
          </w:p>
        </w:tc>
        <w:tc>
          <w:p>
            <w:r>
              <w:rPr>
                <w:b w:val="false"/>
                <w:bCs w:val="false"/>
                <w:sz w:val="18"/>
                <w:szCs w:val="18"/>
              </w:rPr>
              <w:t xml:space="preserve">Does Regulation (EU) 2017/745 (medical devices), Regulation (EU) 2017/746 (in vitro diagnostic medical devices) or Regulation (EU) 2019/2144 (type-approval of motor vehicles) apply to the product?</w:t>
            </w:r>
          </w:p>
        </w:tc>
        <w:tc>
          <w:p>
            <w:r>
              <w:rPr>
                <w:b w:val="false"/>
                <w:bCs w:val="false"/>
                <w:sz w:val="18"/>
                <w:szCs w:val="18"/>
              </w:rPr>
              <w:t xml:space="preserve">Article 2(2)</w:t>
            </w:r>
          </w:p>
        </w:tc>
        <w:tc>
          <w:p>
            <w:r>
              <w:rPr>
                <w:b w:val="false"/>
                <w:bCs w:val="false"/>
                <w:sz w:val="18"/>
                <w:szCs w:val="18"/>
              </w:rPr>
              <w:t xml:space="preserve">Article 2(2) provides that the Regulation does not apply to products with digital elements to which those Union legal acts apply. Record which act applies and to which part of the product.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4.2</w:t>
            </w:r>
          </w:p>
        </w:tc>
        <w:tc>
          <w:p>
            <w:r>
              <w:rPr>
                <w:b w:val="false"/>
                <w:bCs w:val="false"/>
                <w:sz w:val="18"/>
                <w:szCs w:val="18"/>
              </w:rPr>
              <w:t xml:space="preserve">Has the product been certified in accordance with Regulation (EU) 2018/1139 (civil aviation)?</w:t>
            </w:r>
          </w:p>
        </w:tc>
        <w:tc>
          <w:p>
            <w:r>
              <w:rPr>
                <w:b w:val="false"/>
                <w:bCs w:val="false"/>
                <w:sz w:val="18"/>
                <w:szCs w:val="18"/>
              </w:rPr>
              <w:t xml:space="preserve">Article 2(3)</w:t>
            </w:r>
          </w:p>
        </w:tc>
        <w:tc>
          <w:p>
            <w:r>
              <w:rPr>
                <w:b w:val="false"/>
                <w:bCs w:val="false"/>
                <w:sz w:val="18"/>
                <w:szCs w:val="18"/>
              </w:rPr>
              <w:t xml:space="preserve">Article 2(3) excludes products with digital elements certified in accordance with that Regulation.</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4.3</w:t>
            </w:r>
          </w:p>
        </w:tc>
        <w:tc>
          <w:p>
            <w:r>
              <w:rPr>
                <w:b w:val="false"/>
                <w:bCs w:val="false"/>
                <w:sz w:val="18"/>
                <w:szCs w:val="18"/>
              </w:rPr>
              <w:t xml:space="preserve">Is the product equipment that falls within the scope of Directive 2014/90/EU (marine equipment)?</w:t>
            </w:r>
          </w:p>
        </w:tc>
        <w:tc>
          <w:p>
            <w:r>
              <w:rPr>
                <w:b w:val="false"/>
                <w:bCs w:val="false"/>
                <w:sz w:val="18"/>
                <w:szCs w:val="18"/>
              </w:rPr>
              <w:t xml:space="preserve">Article 2(4)</w:t>
            </w:r>
          </w:p>
        </w:tc>
        <w:tc>
          <w:p>
            <w:r>
              <w:rPr>
                <w:b w:val="false"/>
                <w:bCs w:val="false"/>
                <w:sz w:val="18"/>
                <w:szCs w:val="18"/>
              </w:rPr>
              <w:t xml:space="preserve">Article 2(4) excludes such equipment.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4.4</w:t>
            </w:r>
          </w:p>
        </w:tc>
        <w:tc>
          <w:p>
            <w:r>
              <w:rPr>
                <w:b w:val="false"/>
                <w:bCs w:val="false"/>
                <w:sz w:val="18"/>
                <w:szCs w:val="18"/>
              </w:rPr>
              <w:t xml:space="preserve">Was the product developed or modified exclusively for national security or defence purposes, or is it specifically designed to process classified information?</w:t>
            </w:r>
          </w:p>
        </w:tc>
        <w:tc>
          <w:p>
            <w:r>
              <w:rPr>
                <w:b w:val="false"/>
                <w:bCs w:val="false"/>
                <w:sz w:val="18"/>
                <w:szCs w:val="18"/>
              </w:rPr>
              <w:t xml:space="preserve">Article 2(7)</w:t>
            </w:r>
          </w:p>
        </w:tc>
        <w:tc>
          <w:p>
            <w:r>
              <w:rPr>
                <w:b w:val="false"/>
                <w:bCs w:val="false"/>
                <w:sz w:val="18"/>
                <w:szCs w:val="18"/>
              </w:rPr>
              <w:t xml:space="preserve">Article 2(7) excludes these products. Note the word 'exclusively' and document the facts supporting it.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4.5</w:t>
            </w:r>
          </w:p>
        </w:tc>
        <w:tc>
          <w:p>
            <w:r>
              <w:rPr>
                <w:b w:val="false"/>
                <w:bCs w:val="false"/>
                <w:sz w:val="18"/>
                <w:szCs w:val="18"/>
              </w:rPr>
              <w:t xml:space="preserve">Is what you supply a spare part made available to replace an identical component and manufactured according to the same specifications as the component it replaces?</w:t>
            </w:r>
          </w:p>
        </w:tc>
        <w:tc>
          <w:p>
            <w:r>
              <w:rPr>
                <w:b w:val="false"/>
                <w:bCs w:val="false"/>
                <w:sz w:val="18"/>
                <w:szCs w:val="18"/>
              </w:rPr>
              <w:t xml:space="preserve">Article 2(6)</w:t>
            </w:r>
          </w:p>
        </w:tc>
        <w:tc>
          <w:p>
            <w:r>
              <w:rPr>
                <w:b w:val="false"/>
                <w:bCs w:val="false"/>
                <w:sz w:val="18"/>
                <w:szCs w:val="18"/>
              </w:rPr>
              <w:t xml:space="preserve">Article 2(6) excludes such spare parts.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4.6</w:t>
            </w:r>
          </w:p>
        </w:tc>
        <w:tc>
          <w:p>
            <w:r>
              <w:rPr>
                <w:b w:val="false"/>
                <w:bCs w:val="false"/>
                <w:sz w:val="18"/>
                <w:szCs w:val="18"/>
              </w:rPr>
              <w:t xml:space="preserve">Do other Union rules lay down requirements addressing all or some of the risks covered by the essential cybersecurity requirements for this product?</w:t>
            </w:r>
          </w:p>
        </w:tc>
        <w:tc>
          <w:p>
            <w:r>
              <w:rPr>
                <w:b w:val="false"/>
                <w:bCs w:val="false"/>
                <w:sz w:val="18"/>
                <w:szCs w:val="18"/>
              </w:rPr>
              <w:t xml:space="preserve">Article 2(5), first subparagraph; Article 2(5), second subparagraph</w:t>
            </w:r>
          </w:p>
        </w:tc>
        <w:tc>
          <w:p>
            <w:r>
              <w:rPr>
                <w:b w:val="false"/>
                <w:bCs w:val="false"/>
                <w:sz w:val="18"/>
                <w:szCs w:val="18"/>
              </w:rPr>
              <w:t xml:space="preserve">Under Article 2(5), the application of the Regulation may be limited or excluded under conditions, and the Commission is empowered to specify this by delegated acts. Check whether such a delegated act exists for your product.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4.7</w:t>
            </w:r>
          </w:p>
        </w:tc>
        <w:tc>
          <w:p>
            <w:r>
              <w:rPr>
                <w:b w:val="false"/>
                <w:bCs w:val="false"/>
                <w:sz w:val="18"/>
                <w:szCs w:val="18"/>
              </w:rPr>
              <w:t xml:space="preserve">Is the product classified as a high-risk AI system under Regulation (EU) 2024/1689?</w:t>
            </w:r>
          </w:p>
        </w:tc>
        <w:tc>
          <w:p>
            <w:r>
              <w:rPr>
                <w:b w:val="false"/>
                <w:bCs w:val="false"/>
                <w:sz w:val="18"/>
                <w:szCs w:val="18"/>
              </w:rPr>
              <w:t xml:space="preserve">Article 12(1)</w:t>
            </w:r>
          </w:p>
        </w:tc>
        <w:tc>
          <w:p>
            <w:r>
              <w:rPr>
                <w:b w:val="false"/>
                <w:bCs w:val="false"/>
                <w:sz w:val="18"/>
                <w:szCs w:val="18"/>
              </w:rPr>
              <w:t xml:space="preserve">Article 12 concerns products that fall within the scope of this Regulation and are classified as high-risk AI systems, and sets out how compliance with this Regulation relates to the cybersecurity requirements of Regulation (EU) 2024/1689 for those products.</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5. Product category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5.1</w:t>
            </w:r>
          </w:p>
        </w:tc>
        <w:tc>
          <w:p>
            <w:r>
              <w:rPr>
                <w:b w:val="false"/>
                <w:bCs w:val="false"/>
                <w:sz w:val="18"/>
                <w:szCs w:val="18"/>
              </w:rPr>
              <w:t xml:space="preserve">Does the product have the core functionality of a product category listed in Annex III (important products, class I or class II)?</w:t>
            </w:r>
          </w:p>
        </w:tc>
        <w:tc>
          <w:p>
            <w:r>
              <w:rPr>
                <w:b w:val="false"/>
                <w:bCs w:val="false"/>
                <w:sz w:val="18"/>
                <w:szCs w:val="18"/>
              </w:rPr>
              <w:t xml:space="preserve">Article 7(1); Annex III; Article 7(4)</w:t>
            </w:r>
          </w:p>
        </w:tc>
        <w:tc>
          <w:p>
            <w:r>
              <w:rPr>
                <w:b w:val="false"/>
                <w:bCs w:val="false"/>
                <w:sz w:val="18"/>
                <w:szCs w:val="18"/>
              </w:rPr>
              <w:t xml:space="preserve">Important products are subject to the conformity assessment procedures of Article 32(2) and (3). Integrating such a product into another product does not in itself subject the host product to those procedures (Article 7(1)). Article 7(4) provides for an implementing act with technical descriptions of the categories: check it when classifying.</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5.2</w:t>
            </w:r>
          </w:p>
        </w:tc>
        <w:tc>
          <w:p>
            <w:r>
              <w:rPr>
                <w:b w:val="false"/>
                <w:bCs w:val="false"/>
                <w:sz w:val="18"/>
                <w:szCs w:val="18"/>
              </w:rPr>
              <w:t xml:space="preserve">Does the product have the core functionality of a product category listed in Annex IV (critical products)?</w:t>
            </w:r>
          </w:p>
        </w:tc>
        <w:tc>
          <w:p>
            <w:r>
              <w:rPr>
                <w:b w:val="false"/>
                <w:bCs w:val="false"/>
                <w:sz w:val="18"/>
                <w:szCs w:val="18"/>
              </w:rPr>
              <w:t xml:space="preserve">Article 8(1), first subparagraph; Annex IV; Article 32(4)</w:t>
            </w:r>
          </w:p>
        </w:tc>
        <w:tc>
          <w:p>
            <w:r>
              <w:rPr>
                <w:b w:val="false"/>
                <w:bCs w:val="false"/>
                <w:sz w:val="18"/>
                <w:szCs w:val="18"/>
              </w:rPr>
              <w:t xml:space="preserve">Critical products demonstrate conformity through one of the procedures in Article 32(4); Article 8(1) allows the Commission to require a European cybersecurity certificate by delegated act.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6. Your role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6.1</w:t>
            </w:r>
          </w:p>
        </w:tc>
        <w:tc>
          <w:p>
            <w:r>
              <w:rPr>
                <w:b w:val="false"/>
                <w:bCs w:val="false"/>
                <w:sz w:val="18"/>
                <w:szCs w:val="18"/>
              </w:rPr>
              <w:t xml:space="preserve">Do you develop or manufacture the product, or have it designed, developed or manufactured, and market it under your name or trademark (for payment, monetisation or free of charge)?</w:t>
            </w:r>
          </w:p>
        </w:tc>
        <w:tc>
          <w:p>
            <w:r>
              <w:rPr>
                <w:b w:val="false"/>
                <w:bCs w:val="false"/>
                <w:sz w:val="18"/>
                <w:szCs w:val="18"/>
              </w:rPr>
              <w:t xml:space="preserve">Article 3, point (13); Article 13; Article 14</w:t>
            </w:r>
          </w:p>
        </w:tc>
        <w:tc>
          <w:p>
            <w:r>
              <w:rPr>
                <w:b w:val="false"/>
                <w:bCs w:val="false"/>
                <w:sz w:val="18"/>
                <w:szCs w:val="18"/>
              </w:rPr>
              <w:t xml:space="preserve">This is the definition of 'manufacturer' (Article 3, point (13)). Manufacturers' obligations are set out mainly in Articles 13 and 14.</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6.2</w:t>
            </w:r>
          </w:p>
        </w:tc>
        <w:tc>
          <w:p>
            <w:r>
              <w:rPr>
                <w:b w:val="false"/>
                <w:bCs w:val="false"/>
                <w:sz w:val="18"/>
                <w:szCs w:val="18"/>
              </w:rPr>
              <w:t xml:space="preserve">Are you established in the Union and placing on the market a product bearing the name or trademark of a person established outside the Union?</w:t>
            </w:r>
          </w:p>
        </w:tc>
        <w:tc>
          <w:p>
            <w:r>
              <w:rPr>
                <w:b w:val="false"/>
                <w:bCs w:val="false"/>
                <w:sz w:val="18"/>
                <w:szCs w:val="18"/>
              </w:rPr>
              <w:t xml:space="preserve">Article 3, point (16); Article 19</w:t>
            </w:r>
          </w:p>
        </w:tc>
        <w:tc>
          <w:p>
            <w:r>
              <w:rPr>
                <w:b w:val="false"/>
                <w:bCs w:val="false"/>
                <w:sz w:val="18"/>
                <w:szCs w:val="18"/>
              </w:rPr>
              <w:t xml:space="preserve">This is the definition of 'importer' (Article 3, point (16)); importers' obligations are in Article 19.</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6.3</w:t>
            </w:r>
          </w:p>
        </w:tc>
        <w:tc>
          <w:p>
            <w:r>
              <w:rPr>
                <w:b w:val="false"/>
                <w:bCs w:val="false"/>
                <w:sz w:val="18"/>
                <w:szCs w:val="18"/>
              </w:rPr>
              <w:t xml:space="preserve">Are you in the supply chain, other than the manufacturer or importer, making the product available on the Union market without affecting its properties?</w:t>
            </w:r>
          </w:p>
        </w:tc>
        <w:tc>
          <w:p>
            <w:r>
              <w:rPr>
                <w:b w:val="false"/>
                <w:bCs w:val="false"/>
                <w:sz w:val="18"/>
                <w:szCs w:val="18"/>
              </w:rPr>
              <w:t xml:space="preserve">Article 3, point (17); Article 20</w:t>
            </w:r>
          </w:p>
        </w:tc>
        <w:tc>
          <w:p>
            <w:r>
              <w:rPr>
                <w:b w:val="false"/>
                <w:bCs w:val="false"/>
                <w:sz w:val="18"/>
                <w:szCs w:val="18"/>
              </w:rPr>
              <w:t xml:space="preserve">This is the definition of 'distributor' (Article 3, point (17)); distributors' obligations are in Article 20.</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6.4</w:t>
            </w:r>
          </w:p>
        </w:tc>
        <w:tc>
          <w:p>
            <w:r>
              <w:rPr>
                <w:b w:val="false"/>
                <w:bCs w:val="false"/>
                <w:sz w:val="18"/>
                <w:szCs w:val="18"/>
              </w:rPr>
              <w:t xml:space="preserve">Do you, as importer or distributor, place the product on the market under your own name or trademark, or carry out a substantial modification? Does anyone else carry out a substantial modification and make the product available?</w:t>
            </w:r>
          </w:p>
        </w:tc>
        <w:tc>
          <w:p>
            <w:r>
              <w:rPr>
                <w:b w:val="false"/>
                <w:bCs w:val="false"/>
                <w:sz w:val="18"/>
                <w:szCs w:val="18"/>
              </w:rPr>
              <w:t xml:space="preserve">Article 21; Article 22(1); Article 22(2)</w:t>
            </w:r>
          </w:p>
        </w:tc>
        <w:tc>
          <w:p>
            <w:r>
              <w:rPr>
                <w:b w:val="false"/>
                <w:bCs w:val="false"/>
                <w:sz w:val="18"/>
                <w:szCs w:val="18"/>
              </w:rPr>
              <w:t xml:space="preserve">In these cases the person concerned is considered to be a manufacturer and is subject to the manufacturer's obligations as set out in Articles 21 and 22.</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r>
        <w:tc>
          <w:p>
            <w:r>
              <w:rPr>
                <w:b w:val="false"/>
                <w:bCs w:val="false"/>
                <w:sz w:val="18"/>
                <w:szCs w:val="18"/>
              </w:rPr>
              <w:t xml:space="preserve">6.5</w:t>
            </w:r>
          </w:p>
        </w:tc>
        <w:tc>
          <w:p>
            <w:r>
              <w:rPr>
                <w:b w:val="false"/>
                <w:bCs w:val="false"/>
                <w:sz w:val="18"/>
                <w:szCs w:val="18"/>
              </w:rPr>
              <w:t xml:space="preserve">Has the manufacturer appointed an authorised representative by written mandate?</w:t>
            </w:r>
          </w:p>
        </w:tc>
        <w:tc>
          <w:p>
            <w:r>
              <w:rPr>
                <w:b w:val="false"/>
                <w:bCs w:val="false"/>
                <w:sz w:val="18"/>
                <w:szCs w:val="18"/>
              </w:rPr>
              <w:t xml:space="preserve">Article 3, point (15); Article 18</w:t>
            </w:r>
          </w:p>
        </w:tc>
        <w:tc>
          <w:p>
            <w:r>
              <w:rPr>
                <w:b w:val="false"/>
                <w:bCs w:val="false"/>
                <w:sz w:val="18"/>
                <w:szCs w:val="18"/>
              </w:rPr>
              <w:t xml:space="preserve">Article 18 lists the tasks the mandate must at least allow and the manufacturer's obligations that cannot form part of it.</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7. Record and review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94"/>
        <w:gridCol w:w="1994"/>
        <w:gridCol w:w="1994"/>
        <w:gridCol w:w="1994"/>
        <w:gridCol w:w="1994"/>
        <w:gridCol w:w="1994"/>
        <w:gridCol w:w="1994"/>
      </w:tblGrid>
      <w:tr>
        <w:trPr>
          <w:tblHeader/>
        </w:trPr>
        <w:tc>
          <w:p>
            <w:r>
              <w:rPr>
                <w:b/>
                <w:bCs/>
                <w:sz w:val="18"/>
                <w:szCs w:val="18"/>
              </w:rPr>
              <w:t xml:space="preserve">Ref</w:t>
            </w:r>
          </w:p>
        </w:tc>
        <w:tc>
          <w:p>
            <w:r>
              <w:rPr>
                <w:b/>
                <w:bCs/>
                <w:sz w:val="18"/>
                <w:szCs w:val="18"/>
              </w:rPr>
              <w:t xml:space="preserve">Item</w:t>
            </w:r>
          </w:p>
        </w:tc>
        <w:tc>
          <w:p>
            <w:r>
              <w:rPr>
                <w:b/>
                <w:bCs/>
                <w:sz w:val="18"/>
                <w:szCs w:val="18"/>
              </w:rPr>
              <w:t xml:space="preserve">Provisions</w:t>
            </w:r>
          </w:p>
        </w:tc>
        <w:tc>
          <w:p>
            <w:r>
              <w:rPr>
                <w:b/>
                <w:bCs/>
                <w:sz w:val="18"/>
                <w:szCs w:val="18"/>
              </w:rPr>
              <w:t xml:space="preserve">Guidance</w:t>
            </w:r>
          </w:p>
        </w:tc>
        <w:tc>
          <w:p>
            <w:r>
              <w:rPr>
                <w:b/>
                <w:bCs/>
                <w:sz w:val="18"/>
                <w:szCs w:val="18"/>
              </w:rPr>
              <w:t xml:space="preserve">Status</w:t>
            </w:r>
          </w:p>
        </w:tc>
        <w:tc>
          <w:p>
            <w:r>
              <w:rPr>
                <w:b/>
                <w:bCs/>
                <w:sz w:val="18"/>
                <w:szCs w:val="18"/>
              </w:rPr>
              <w:t xml:space="preserve">Owner</w:t>
            </w:r>
          </w:p>
        </w:tc>
        <w:tc>
          <w:p>
            <w:r>
              <w:rPr>
                <w:b/>
                <w:bCs/>
                <w:sz w:val="18"/>
                <w:szCs w:val="18"/>
              </w:rPr>
              <w:t xml:space="preserve">Notes</w:t>
            </w:r>
          </w:p>
        </w:tc>
      </w:tr>
      <w:tr>
        <w:tc>
          <w:p>
            <w:r>
              <w:rPr>
                <w:b w:val="false"/>
                <w:bCs w:val="false"/>
                <w:sz w:val="18"/>
                <w:szCs w:val="18"/>
              </w:rPr>
              <w:t xml:space="preserve">7.1</w:t>
            </w:r>
          </w:p>
        </w:tc>
        <w:tc>
          <w:p>
            <w:r>
              <w:rPr>
                <w:b w:val="false"/>
                <w:bCs w:val="false"/>
                <w:sz w:val="18"/>
                <w:szCs w:val="18"/>
              </w:rPr>
              <w:t xml:space="preserve">Recommendation: record the reasoning and evidence for each answer, the date and the person responsible, and list the items marked 'Unclear' for expert review.</w:t>
            </w:r>
          </w:p>
        </w:tc>
        <w:tc>
          <w:p>
            <w:r>
              <w:rPr>
                <w:b w:val="false"/>
                <w:bCs w:val="false"/>
                <w:sz w:val="18"/>
                <w:szCs w:val="18"/>
              </w:rPr>
              <w:t xml:space="preserve"/>
            </w:r>
          </w:p>
        </w:tc>
        <w:tc>
          <w:p>
            <w:r>
              <w:rPr>
                <w:b w:val="false"/>
                <w:bCs w:val="false"/>
                <w:sz w:val="18"/>
                <w:szCs w:val="18"/>
              </w:rPr>
              <w:t xml:space="preserve">Good practice, not a requirement of the Regulation. A dated record makes it easier to revisit the analysis when the product changes or when delegated acts, implementing acts or official guidance are published.</w:t>
            </w:r>
          </w:p>
        </w:tc>
        <w:tc>
          <w:p>
            <w:r>
              <w:rPr>
                <w:b w:val="false"/>
                <w:bCs w:val="false"/>
                <w:sz w:val="18"/>
                <w:szCs w:val="18"/>
              </w:rPr>
              <w:t xml:space="preserve"/>
            </w:r>
          </w:p>
        </w:tc>
        <w:tc>
          <w:p>
            <w:r>
              <w:rPr>
                <w:b w:val="false"/>
                <w:bCs w:val="false"/>
                <w:sz w:val="18"/>
                <w:szCs w:val="18"/>
              </w:rPr>
              <w:t xml:space="preserve"/>
            </w:r>
          </w:p>
        </w:tc>
        <w:tc>
          <w:p>
            <w:r>
              <w:rPr>
                <w:b w:val="false"/>
                <w:bCs w:val="false"/>
                <w:sz w:val="18"/>
                <w:szCs w:val="18"/>
              </w:rPr>
              <w:t xml:space="preserve"/>
            </w:r>
          </w:p>
        </w:tc>
      </w:tr>
    </w:tbl>
    <w:p>
      <w:pPr>
        <w:pStyle w:val="Heading1"/>
      </w:pPr>
      <w:r>
        <w:t xml:space="preserve">Sources</w:t>
      </w:r>
    </w:p>
    <w:p>
      <w:r>
        <w:t xml:space="preserve">• Regulation (EU) 2024/2847 (Cyber Resilience Act), OJ L, 2024/2847, 20.11.2024, as corrected — Articles 2, 3, 7, 8, 12, 13, 14, 18 to 24, 32, 69 and 71, Annexes III and IV, Recitals 11, 12 and 17 to 19.</w:t>
      </w:r>
    </w:p>
    <w:p>
      <w:r>
        <w:t xml:space="preserve">• Official text: https://eur-lex.europa.eu/eli/reg/2024/2847/oj — read on regulation-cra.eu at /regulation.</w:t>
      </w:r>
    </w:p>
    <w:sectPr>
      <w:footerReference w:type="default" r:id="rId6"/>
      <w:pgSz w:w="16838" w:h="11906" w:orient="landscape"/>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regulation-cra.eu — Independent information and training website. Not affiliated with EU institutions.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 scoping checklist</dc:title>
  <dc:creator>regulation-cra.eu</dc:creator>
  <dc:description>resource.scoping-checklist v1.0</dc:description>
  <cp:lastModifiedBy>Un-named</cp:lastModifiedBy>
  <cp:revision>1</cp:revision>
  <dcterms:created xsi:type="dcterms:W3CDTF">2026-11-02T13:16:59.655Z</dcterms:created>
  <dcterms:modified xsi:type="dcterms:W3CDTF">2026-11-02T13:16:59.655Z</dcterms:modified>
</cp:coreProperties>
</file>

<file path=docProps/custom.xml><?xml version="1.0" encoding="utf-8"?>
<Properties xmlns="http://schemas.openxmlformats.org/officeDocument/2006/custom-properties" xmlns:vt="http://schemas.openxmlformats.org/officeDocument/2006/docPropsVTypes"/>
</file>