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CRA preparation action plan</w:t>
      </w:r>
    </w:p>
    <w:p>
      <w:r>
        <w:t xml:space="preserve">Suggested workstreams and deliverables to prepare for Regulation (EU) 2024/2847 — recommendations linked to the provisions that motivate them</w:t>
      </w:r>
    </w:p>
    <w:p>
      <w:r>
        <w:rPr>
          <w:i/>
          <w:iCs/>
        </w:rPr>
        <w:t xml:space="preserve">Version 1.0</w:t>
      </w:r>
    </w:p>
    <w:p>
      <w:pPr>
        <w:pStyle w:val="Heading1"/>
      </w:pPr>
      <w:r>
        <w:t xml:space="preserve">Purpose</w:t>
      </w:r>
    </w:p>
    <w:p>
      <w:r>
        <w:t xml:space="preserve">This action plan groups the preparation work for the Cyber Resilience Act into six workstreams. Each item is a suggested deliverable: it is a recommendation, not a legal obligation in itself, and it cites the provisions of the official text that motivate it. Adapt the plan to your role (manufacturer, importer, distributor, open-source software steward), your products and your existing processes.</w:t>
      </w:r>
    </w:p>
    <w:p>
      <w:pPr>
        <w:pStyle w:val="Heading1"/>
      </w:pPr>
      <w:r>
        <w:t xml:space="preserve">How to use</w:t>
      </w:r>
    </w:p>
    <w:p>
      <w:r>
        <w:t xml:space="preserve">1. Start with workstream 1 (scoping) for each product; the other workstreams depend on its results.</w:t>
      </w:r>
    </w:p>
    <w:p>
      <w:r>
        <w:t xml:space="preserve">2. Read the cited provisions before planning an item; delete items that do not apply to your role and add your own.</w:t>
      </w:r>
    </w:p>
    <w:p>
      <w:r>
        <w:t xml:space="preserve">3. Assign an owner and a target date to each item in the Status, Owner and Notes columns, keeping in mind that Article 14 applies from 11 September 2026 and the Regulation as a whole from 11 December 2027.</w:t>
      </w:r>
    </w:p>
    <w:p>
      <w:r>
        <w:t xml:space="preserve">4. Track evidence (documents, procedures, records) for each completed item: it will feed the technical documentation and the answers to market surveillance authorities.</w:t>
      </w:r>
    </w:p>
    <w:p>
      <w:r>
        <w:t xml:space="preserve">5. Review the plan when delegated acts, implementing acts, harmonised standards or official guidance are published.</w:t>
      </w:r>
    </w:p>
    <w:p>
      <w:pPr>
        <w:pStyle w:val="Heading1"/>
      </w:pPr>
      <w:r>
        <w:t xml:space="preserve">Limits</w:t>
      </w:r>
    </w:p>
    <w:p>
      <w:r>
        <w:t xml:space="preserve">This action plan is a planning aid prepared by regulation-cra.eu. The deliverables it suggests are recommendations; completing them does not establish compliance and does not replace a product-specific analysis or legal advice. It reflects the text of Regulation (EU) 2024/2847 as published in the Official Journal with its corrigenda; delegated and implementing acts, harmonised standards and official guidance may add detail. Only the texts published in the Official Journal of the European Union are authentic.</w:t>
      </w:r>
    </w:p>
    <w:p>
      <w:pPr>
        <w:pStyle w:val="Heading1"/>
      </w:pPr>
      <w:r>
        <w:t xml:space="preserve">1. Governance and scoping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1.1</w:t>
            </w:r>
          </w:p>
        </w:tc>
        <w:tc>
          <w:p>
            <w:r>
              <w:rPr>
                <w:b w:val="false"/>
                <w:bCs w:val="false"/>
                <w:sz w:val="18"/>
                <w:szCs w:val="18"/>
              </w:rPr>
              <w:t xml:space="preserve">Name an owner for CRA preparation and maintain an inventory of products with digital elements and their versions.</w:t>
            </w:r>
          </w:p>
        </w:tc>
        <w:tc>
          <w:p>
            <w:r>
              <w:rPr>
                <w:b w:val="false"/>
                <w:bCs w:val="false"/>
                <w:sz w:val="18"/>
                <w:szCs w:val="18"/>
              </w:rPr>
              <w:t xml:space="preserve">Article 2(1); Article 3, point (1)</w:t>
            </w:r>
          </w:p>
        </w:tc>
        <w:tc>
          <w:p>
            <w:r>
              <w:rPr>
                <w:b w:val="false"/>
                <w:bCs w:val="false"/>
                <w:sz w:val="18"/>
                <w:szCs w:val="18"/>
              </w:rPr>
              <w:t xml:space="preserve">Recommendation. The inventory is the basis for every later step: scope, role, category, support period and reporting.</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1.2</w:t>
            </w:r>
          </w:p>
        </w:tc>
        <w:tc>
          <w:p>
            <w:r>
              <w:rPr>
                <w:b w:val="false"/>
                <w:bCs w:val="false"/>
                <w:sz w:val="18"/>
                <w:szCs w:val="18"/>
              </w:rPr>
              <w:t xml:space="preserve">Complete a documented scoping analysis for each product (see the CRA scoping checklist).</w:t>
            </w:r>
          </w:p>
        </w:tc>
        <w:tc>
          <w:p>
            <w:r>
              <w:rPr>
                <w:b w:val="false"/>
                <w:bCs w:val="false"/>
                <w:sz w:val="18"/>
                <w:szCs w:val="18"/>
              </w:rPr>
              <w:t xml:space="preserve">Article 2; Article 3, point (2); Article 3, point (22)</w:t>
            </w:r>
          </w:p>
        </w:tc>
        <w:tc>
          <w:p>
            <w:r>
              <w:rPr>
                <w:b w:val="false"/>
                <w:bCs w:val="false"/>
                <w:sz w:val="18"/>
                <w:szCs w:val="18"/>
              </w:rPr>
              <w:t xml:space="preserve">Recommendation. Covers the product definition, remote data processing, making available on the market, free and open-source software and the exclusions of Article 2.</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1.3</w:t>
            </w:r>
          </w:p>
        </w:tc>
        <w:tc>
          <w:p>
            <w:r>
              <w:rPr>
                <w:b w:val="false"/>
                <w:bCs w:val="false"/>
                <w:sz w:val="18"/>
                <w:szCs w:val="18"/>
              </w:rPr>
              <w:t xml:space="preserve">Determine your role for each product and market (manufacturer, authorised representative, importer, distributor, open-source software steward), including the cases where an importer, distributor or other person is considered a manufacturer.</w:t>
            </w:r>
          </w:p>
        </w:tc>
        <w:tc>
          <w:p>
            <w:r>
              <w:rPr>
                <w:b w:val="false"/>
                <w:bCs w:val="false"/>
                <w:sz w:val="18"/>
                <w:szCs w:val="18"/>
              </w:rPr>
              <w:t xml:space="preserve">Article 3, point (12); Article 21; Article 22(1)</w:t>
            </w:r>
          </w:p>
        </w:tc>
        <w:tc>
          <w:p>
            <w:r>
              <w:rPr>
                <w:b w:val="false"/>
                <w:bCs w:val="false"/>
                <w:sz w:val="18"/>
                <w:szCs w:val="18"/>
              </w:rPr>
              <w:t xml:space="preserve">Recommendation. The obligations differ by role (Articles 13 to 24).</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1.4</w:t>
            </w:r>
          </w:p>
        </w:tc>
        <w:tc>
          <w:p>
            <w:r>
              <w:rPr>
                <w:b w:val="false"/>
                <w:bCs w:val="false"/>
                <w:sz w:val="18"/>
                <w:szCs w:val="18"/>
              </w:rPr>
              <w:t xml:space="preserve">Check whether each product has the core functionality of a category in Annex III or Annex IV, using the technical descriptions adopted under Article 7(4) when available.</w:t>
            </w:r>
          </w:p>
        </w:tc>
        <w:tc>
          <w:p>
            <w:r>
              <w:rPr>
                <w:b w:val="false"/>
                <w:bCs w:val="false"/>
                <w:sz w:val="18"/>
                <w:szCs w:val="18"/>
              </w:rPr>
              <w:t xml:space="preserve">Article 7(1); Article 7(4); Article 8(1), first subparagraph; Annex III; Annex IV</w:t>
            </w:r>
          </w:p>
        </w:tc>
        <w:tc>
          <w:p>
            <w:r>
              <w:rPr>
                <w:b w:val="false"/>
                <w:bCs w:val="false"/>
                <w:sz w:val="18"/>
                <w:szCs w:val="18"/>
              </w:rPr>
              <w:t xml:space="preserve">Recommendation. The category determines the available conformity assessment procedures (Article 32).</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1.5</w:t>
            </w:r>
          </w:p>
        </w:tc>
        <w:tc>
          <w:p>
            <w:r>
              <w:rPr>
                <w:b w:val="false"/>
                <w:bCs w:val="false"/>
                <w:sz w:val="18"/>
                <w:szCs w:val="18"/>
              </w:rPr>
              <w:t xml:space="preserve">Build a timeline per product: Article 14 reporting from 11 September 2026 (including products placed on the market before 11 December 2027), general application from 11 December 2027.</w:t>
            </w:r>
          </w:p>
        </w:tc>
        <w:tc>
          <w:p>
            <w:r>
              <w:rPr>
                <w:b w:val="false"/>
                <w:bCs w:val="false"/>
                <w:sz w:val="18"/>
                <w:szCs w:val="18"/>
              </w:rPr>
              <w:t xml:space="preserve">Article 71(2); Article 69(2); Article 69(3)</w:t>
            </w:r>
          </w:p>
        </w:tc>
        <w:tc>
          <w:p>
            <w:r>
              <w:rPr>
                <w:b w:val="false"/>
                <w:bCs w:val="false"/>
                <w:sz w:val="18"/>
                <w:szCs w:val="18"/>
              </w:rPr>
              <w:t xml:space="preserve">Recommendation. Products placed on the market before 11 December 2027 are subject to the requirements only if substantially modified from that date, except for Article 14.</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2. Secure design and development (Annex I, Part 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2.1</w:t>
            </w:r>
          </w:p>
        </w:tc>
        <w:tc>
          <w:p>
            <w:r>
              <w:rPr>
                <w:b w:val="false"/>
                <w:bCs w:val="false"/>
                <w:sz w:val="18"/>
                <w:szCs w:val="18"/>
              </w:rPr>
              <w:t xml:space="preserve">Carry out, document and keep up to date a cybersecurity risk assessment for each product, and use it during planning, design, development, production, delivery and maintenance.</w:t>
            </w:r>
          </w:p>
        </w:tc>
        <w:tc>
          <w:p>
            <w:r>
              <w:rPr>
                <w:b w:val="false"/>
                <w:bCs w:val="false"/>
                <w:sz w:val="18"/>
                <w:szCs w:val="18"/>
              </w:rPr>
              <w:t xml:space="preserve">Article 13(2); Article 13(3); Article 13(4)</w:t>
            </w:r>
          </w:p>
        </w:tc>
        <w:tc>
          <w:p>
            <w:r>
              <w:rPr>
                <w:b w:val="false"/>
                <w:bCs w:val="false"/>
                <w:sz w:val="18"/>
                <w:szCs w:val="18"/>
              </w:rPr>
              <w:t xml:space="preserve">Motivated by Article 13(2) to (4); the assessment is part of the technical documentation.</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2.2</w:t>
            </w:r>
          </w:p>
        </w:tc>
        <w:tc>
          <w:p>
            <w:r>
              <w:rPr>
                <w:b w:val="false"/>
                <w:bCs w:val="false"/>
                <w:sz w:val="18"/>
                <w:szCs w:val="18"/>
              </w:rPr>
              <w:t xml:space="preserve">Perform a gap analysis of each product against the essential cybersecurity requirements in Part I of Annex I, points (1) and (2)(a) to (m).</w:t>
            </w:r>
          </w:p>
        </w:tc>
        <w:tc>
          <w:p>
            <w:r>
              <w:rPr>
                <w:b w:val="false"/>
                <w:bCs w:val="false"/>
                <w:sz w:val="18"/>
                <w:szCs w:val="18"/>
              </w:rPr>
              <w:t xml:space="preserve">Article 13(1); Annex I, Part I</w:t>
            </w:r>
          </w:p>
        </w:tc>
        <w:tc>
          <w:p>
            <w:r>
              <w:rPr>
                <w:b w:val="false"/>
                <w:bCs w:val="false"/>
                <w:sz w:val="18"/>
                <w:szCs w:val="18"/>
              </w:rPr>
              <w:t xml:space="preserve">Recommendation. Point (2) applies on the basis of the risk assessment and where applicable; record the justification where a requirement is considered not applicable.</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2.3</w:t>
            </w:r>
          </w:p>
        </w:tc>
        <w:tc>
          <w:p>
            <w:r>
              <w:rPr>
                <w:b w:val="false"/>
                <w:bCs w:val="false"/>
                <w:sz w:val="18"/>
                <w:szCs w:val="18"/>
              </w:rPr>
              <w:t xml:space="preserve">Define a due-diligence procedure for third-party components, including free and open-source components, and keep a component inventory.</w:t>
            </w:r>
          </w:p>
        </w:tc>
        <w:tc>
          <w:p>
            <w:r>
              <w:rPr>
                <w:b w:val="false"/>
                <w:bCs w:val="false"/>
                <w:sz w:val="18"/>
                <w:szCs w:val="18"/>
              </w:rPr>
              <w:t xml:space="preserve">Article 13(5); Article 13(6)</w:t>
            </w:r>
          </w:p>
        </w:tc>
        <w:tc>
          <w:p>
            <w:r>
              <w:rPr>
                <w:b w:val="false"/>
                <w:bCs w:val="false"/>
                <w:sz w:val="18"/>
                <w:szCs w:val="18"/>
              </w:rPr>
              <w:t xml:space="preserve">Motivated by Article 13(5) and (6).</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2.4</w:t>
            </w:r>
          </w:p>
        </w:tc>
        <w:tc>
          <w:p>
            <w:r>
              <w:rPr>
                <w:b w:val="false"/>
                <w:bCs w:val="false"/>
                <w:sz w:val="18"/>
                <w:szCs w:val="18"/>
              </w:rPr>
              <w:t xml:space="preserve">Review default configurations and update mechanisms: secure by default configuration with reset possibility, security updates (automatic where applicable, with opt-out), protection of data and access.</w:t>
            </w:r>
          </w:p>
        </w:tc>
        <w:tc>
          <w:p>
            <w:r>
              <w:rPr>
                <w:b w:val="false"/>
                <w:bCs w:val="false"/>
                <w:sz w:val="18"/>
                <w:szCs w:val="18"/>
              </w:rPr>
              <w:t xml:space="preserve">Annex I, Part I, point 2(b); Annex I, Part I, point 2(c); Annex I, Part I, point 2(d); Annex I, Part I, point 2(e)</w:t>
            </w:r>
          </w:p>
        </w:tc>
        <w:tc>
          <w:p>
            <w:r>
              <w:rPr>
                <w:b w:val="false"/>
                <w:bCs w:val="false"/>
                <w:sz w:val="18"/>
                <w:szCs w:val="18"/>
              </w:rPr>
              <w:t xml:space="preserve">Recommendation derived from Part I of Annex I; the exact wording, including the exceptions for tailor-made products agreed with business users, is in the cited points.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3. Vulnerability handling and support period (Annex I, Part II)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3.1</w:t>
            </w:r>
          </w:p>
        </w:tc>
        <w:tc>
          <w:p>
            <w:r>
              <w:rPr>
                <w:b w:val="false"/>
                <w:bCs w:val="false"/>
                <w:sz w:val="18"/>
                <w:szCs w:val="18"/>
              </w:rPr>
              <w:t xml:space="preserve">Produce and maintain a software bill of materials in a commonly used and machine-readable format covering at least the top-level dependencies.</w:t>
            </w:r>
          </w:p>
        </w:tc>
        <w:tc>
          <w:p>
            <w:r>
              <w:rPr>
                <w:b w:val="false"/>
                <w:bCs w:val="false"/>
                <w:sz w:val="18"/>
                <w:szCs w:val="18"/>
              </w:rPr>
              <w:t xml:space="preserve">Annex I, Part II, point 1; Article 3, point (39); Article 13(24)</w:t>
            </w:r>
          </w:p>
        </w:tc>
        <w:tc>
          <w:p>
            <w:r>
              <w:rPr>
                <w:b w:val="false"/>
                <w:bCs w:val="false"/>
                <w:sz w:val="18"/>
                <w:szCs w:val="18"/>
              </w:rPr>
              <w:t xml:space="preserve">Motivated by Part II, point (1), of Annex I. The Commission may specify the format and elements by implementing acts (Article 13(24)).</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3.2</w:t>
            </w:r>
          </w:p>
        </w:tc>
        <w:tc>
          <w:p>
            <w:r>
              <w:rPr>
                <w:b w:val="false"/>
                <w:bCs w:val="false"/>
                <w:sz w:val="18"/>
                <w:szCs w:val="18"/>
              </w:rPr>
              <w:t xml:space="preserve">Adopt and enforce a coordinated vulnerability disclosure policy, publish a contact address for reporting vulnerabilities and designate a single point of contact for users.</w:t>
            </w:r>
          </w:p>
        </w:tc>
        <w:tc>
          <w:p>
            <w:r>
              <w:rPr>
                <w:b w:val="false"/>
                <w:bCs w:val="false"/>
                <w:sz w:val="18"/>
                <w:szCs w:val="18"/>
              </w:rPr>
              <w:t xml:space="preserve">Annex I, Part II, point 5; Annex I, Part II, point 6; Article 13(8), sixth subparagraph; Article 13(17)</w:t>
            </w:r>
          </w:p>
        </w:tc>
        <w:tc>
          <w:p>
            <w:r>
              <w:rPr>
                <w:b w:val="false"/>
                <w:bCs w:val="false"/>
                <w:sz w:val="18"/>
                <w:szCs w:val="18"/>
              </w:rPr>
              <w:t xml:space="preserve">Motivated by Part II, points (5) and (6), of Annex I and Article 13(8) and (17).</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3.3</w:t>
            </w:r>
          </w:p>
        </w:tc>
        <w:tc>
          <w:p>
            <w:r>
              <w:rPr>
                <w:b w:val="false"/>
                <w:bCs w:val="false"/>
                <w:sz w:val="18"/>
                <w:szCs w:val="18"/>
              </w:rPr>
              <w:t xml:space="preserve">Set up the security update process: remediation without delay, security updates separate from functionality updates where technically feasible, secure distribution, dissemination without delay and free of charge (unless otherwise agreed for a tailor-made product with a business user) with advisory messages.</w:t>
            </w:r>
          </w:p>
        </w:tc>
        <w:tc>
          <w:p>
            <w:r>
              <w:rPr>
                <w:b w:val="false"/>
                <w:bCs w:val="false"/>
                <w:sz w:val="18"/>
                <w:szCs w:val="18"/>
              </w:rPr>
              <w:t xml:space="preserve">Annex I, Part II, point 2; Annex I, Part II, point 3; Annex I, Part II, point 7; Annex I, Part II, point 8</w:t>
            </w:r>
          </w:p>
        </w:tc>
        <w:tc>
          <w:p>
            <w:r>
              <w:rPr>
                <w:b w:val="false"/>
                <w:bCs w:val="false"/>
                <w:sz w:val="18"/>
                <w:szCs w:val="18"/>
              </w:rPr>
              <w:t xml:space="preserve">Motivated by Part II, points (2), (3), (7) and (8), of Annex I.</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3.4</w:t>
            </w:r>
          </w:p>
        </w:tc>
        <w:tc>
          <w:p>
            <w:r>
              <w:rPr>
                <w:b w:val="false"/>
                <w:bCs w:val="false"/>
                <w:sz w:val="18"/>
                <w:szCs w:val="18"/>
              </w:rPr>
              <w:t xml:space="preserve">Determine the support period of each product, document the information taken into account and plan how its end date (at least month and year) is communicated at the time of purchase.</w:t>
            </w:r>
          </w:p>
        </w:tc>
        <w:tc>
          <w:p>
            <w:r>
              <w:rPr>
                <w:b w:val="false"/>
                <w:bCs w:val="false"/>
                <w:sz w:val="18"/>
                <w:szCs w:val="18"/>
              </w:rPr>
              <w:t xml:space="preserve">Article 13(8), second subparagraph; Article 13(8), third subparagraph; Article 13(8), fifth subparagraph; Article 13(19), first subparagraph</w:t>
            </w:r>
          </w:p>
        </w:tc>
        <w:tc>
          <w:p>
            <w:r>
              <w:rPr>
                <w:b w:val="false"/>
                <w:bCs w:val="false"/>
                <w:sz w:val="18"/>
                <w:szCs w:val="18"/>
              </w:rPr>
              <w:t xml:space="preserve">The support period must reflect the expected time in use; under Article 13(8), third subparagraph, it is at least five years, or the expected use time where the product is expected to be in use for less than five years. The Commission may specify minimum support periods for specific categories by delegated acts.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3.5</w:t>
            </w:r>
          </w:p>
        </w:tc>
        <w:tc>
          <w:p>
            <w:r>
              <w:rPr>
                <w:b w:val="false"/>
                <w:bCs w:val="false"/>
                <w:sz w:val="18"/>
                <w:szCs w:val="18"/>
              </w:rPr>
              <w:t xml:space="preserve">Plan how each security update made available during the support period remains available for at least 10 years after issue or for the remainder of the support period, whichever is longer.</w:t>
            </w:r>
          </w:p>
        </w:tc>
        <w:tc>
          <w:p>
            <w:r>
              <w:rPr>
                <w:b w:val="false"/>
                <w:bCs w:val="false"/>
                <w:sz w:val="18"/>
                <w:szCs w:val="18"/>
              </w:rPr>
              <w:t xml:space="preserve">Article 13(9)</w:t>
            </w:r>
          </w:p>
        </w:tc>
        <w:tc>
          <w:p>
            <w:r>
              <w:rPr>
                <w:b w:val="false"/>
                <w:bCs w:val="false"/>
                <w:sz w:val="18"/>
                <w:szCs w:val="18"/>
              </w:rPr>
              <w:t xml:space="preserve">Motivated by Article 13(9).</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3.6</w:t>
            </w:r>
          </w:p>
        </w:tc>
        <w:tc>
          <w:p>
            <w:r>
              <w:rPr>
                <w:b w:val="false"/>
                <w:bCs w:val="false"/>
                <w:sz w:val="18"/>
                <w:szCs w:val="18"/>
              </w:rPr>
              <w:t xml:space="preserve">Plan the public disclosure of information about fixed vulnerabilities once a security update is available.</w:t>
            </w:r>
          </w:p>
        </w:tc>
        <w:tc>
          <w:p>
            <w:r>
              <w:rPr>
                <w:b w:val="false"/>
                <w:bCs w:val="false"/>
                <w:sz w:val="18"/>
                <w:szCs w:val="18"/>
              </w:rPr>
              <w:t xml:space="preserve">Annex I, Part II, point 4</w:t>
            </w:r>
          </w:p>
        </w:tc>
        <w:tc>
          <w:p>
            <w:r>
              <w:rPr>
                <w:b w:val="false"/>
                <w:bCs w:val="false"/>
                <w:sz w:val="18"/>
                <w:szCs w:val="18"/>
              </w:rPr>
              <w:t xml:space="preserve">Point (4) lists the information to disclose and the duly justified cases where publication may be delayed until users could apply the patch.</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4. Reporting readiness (Article 14)</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4.1</w:t>
            </w:r>
          </w:p>
        </w:tc>
        <w:tc>
          <w:p>
            <w:r>
              <w:rPr>
                <w:b w:val="false"/>
                <w:bCs w:val="false"/>
                <w:sz w:val="18"/>
                <w:szCs w:val="18"/>
              </w:rPr>
              <w:t xml:space="preserve">Define how actively exploited vulnerabilities and severe incidents having an impact on the security of the product are detected and qualified.</w:t>
            </w:r>
          </w:p>
        </w:tc>
        <w:tc>
          <w:p>
            <w:r>
              <w:rPr>
                <w:b w:val="false"/>
                <w:bCs w:val="false"/>
                <w:sz w:val="18"/>
                <w:szCs w:val="18"/>
              </w:rPr>
              <w:t xml:space="preserve">Article 3, point (42); Article 3, point (44); Article 14(5)</w:t>
            </w:r>
          </w:p>
        </w:tc>
        <w:tc>
          <w:p>
            <w:r>
              <w:rPr>
                <w:b w:val="false"/>
                <w:bCs w:val="false"/>
                <w:sz w:val="18"/>
                <w:szCs w:val="18"/>
              </w:rPr>
              <w:t xml:space="preserve">Recommendation based on the definitions (Article 3, points (42) and (44)) and the severity criteria of Article 14(5).</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4.2</w:t>
            </w:r>
          </w:p>
        </w:tc>
        <w:tc>
          <w:p>
            <w:r>
              <w:rPr>
                <w:b w:val="false"/>
                <w:bCs w:val="false"/>
                <w:sz w:val="18"/>
                <w:szCs w:val="18"/>
              </w:rPr>
              <w:t xml:space="preserve">Prepare notification templates and an on-call procedure for the deadlines of Article 14: early warning within 24 hours, notification within 72 hours, final report (no later than 14 days after a corrective or mitigating measure is available for a vulnerability; within one month after the incident notification for a severe incident).</w:t>
            </w:r>
          </w:p>
        </w:tc>
        <w:tc>
          <w:p>
            <w:r>
              <w:rPr>
                <w:b w:val="false"/>
                <w:bCs w:val="false"/>
                <w:sz w:val="18"/>
                <w:szCs w:val="18"/>
              </w:rPr>
              <w:t xml:space="preserve">Article 14(2); Article 14(4); Article 14(6)</w:t>
            </w:r>
          </w:p>
        </w:tc>
        <w:tc>
          <w:p>
            <w:r>
              <w:rPr>
                <w:b w:val="false"/>
                <w:bCs w:val="false"/>
                <w:sz w:val="18"/>
                <w:szCs w:val="18"/>
              </w:rPr>
              <w:t xml:space="preserve">Motivated by Article 14(2) and (4). The CSIRT may request an intermediate report (Article 14(6)). The Commission may specify formats and procedures by implementing acts (Article 14(10)).</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4.3</w:t>
            </w:r>
          </w:p>
        </w:tc>
        <w:tc>
          <w:p>
            <w:r>
              <w:rPr>
                <w:b w:val="false"/>
                <w:bCs w:val="false"/>
                <w:sz w:val="18"/>
                <w:szCs w:val="18"/>
              </w:rPr>
              <w:t xml:space="preserve">Identify the CSIRT designated as coordinator to which notifications will be submitted via the single reporting platform (main establishment, or the order of Article 14(7) if there is none in the Union).</w:t>
            </w:r>
          </w:p>
        </w:tc>
        <w:tc>
          <w:p>
            <w:r>
              <w:rPr>
                <w:b w:val="false"/>
                <w:bCs w:val="false"/>
                <w:sz w:val="18"/>
                <w:szCs w:val="18"/>
              </w:rPr>
              <w:t xml:space="preserve">Article 14(1); Article 14(7); Article 16(1)</w:t>
            </w:r>
          </w:p>
        </w:tc>
        <w:tc>
          <w:p>
            <w:r>
              <w:rPr>
                <w:b w:val="false"/>
                <w:bCs w:val="false"/>
                <w:sz w:val="18"/>
                <w:szCs w:val="18"/>
              </w:rPr>
              <w:t xml:space="preserve">Motivated by Article 14(1) and (7) and Article 16(1).</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4.4</w:t>
            </w:r>
          </w:p>
        </w:tc>
        <w:tc>
          <w:p>
            <w:r>
              <w:rPr>
                <w:b w:val="false"/>
                <w:bCs w:val="false"/>
                <w:sz w:val="18"/>
                <w:szCs w:val="18"/>
              </w:rPr>
              <w:t xml:space="preserve">Prepare the process and channels for informing impacted users, and where appropriate all users, of actively exploited vulnerabilities and severe incidents and of mitigation measures.</w:t>
            </w:r>
          </w:p>
        </w:tc>
        <w:tc>
          <w:p>
            <w:r>
              <w:rPr>
                <w:b w:val="false"/>
                <w:bCs w:val="false"/>
                <w:sz w:val="18"/>
                <w:szCs w:val="18"/>
              </w:rPr>
              <w:t xml:space="preserve">Article 14(8)</w:t>
            </w:r>
          </w:p>
        </w:tc>
        <w:tc>
          <w:p>
            <w:r>
              <w:rPr>
                <w:b w:val="false"/>
                <w:bCs w:val="false"/>
                <w:sz w:val="18"/>
                <w:szCs w:val="18"/>
              </w:rPr>
              <w:t xml:space="preserve">Motivated by Article 14(8), which mentions a structured, machine-readable format where appropriate.</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5. Documentation and conformity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5.1</w:t>
            </w:r>
          </w:p>
        </w:tc>
        <w:tc>
          <w:p>
            <w:r>
              <w:rPr>
                <w:b w:val="false"/>
                <w:bCs w:val="false"/>
                <w:sz w:val="18"/>
                <w:szCs w:val="18"/>
              </w:rPr>
              <w:t xml:space="preserve">Draw up the technical documentation before placing on the market, with at least the elements of Annex VII, and keep it updated at least during the support period.</w:t>
            </w:r>
          </w:p>
        </w:tc>
        <w:tc>
          <w:p>
            <w:r>
              <w:rPr>
                <w:b w:val="false"/>
                <w:bCs w:val="false"/>
                <w:sz w:val="18"/>
                <w:szCs w:val="18"/>
              </w:rPr>
              <w:t xml:space="preserve">Article 31(1); Article 31(2); Annex VII</w:t>
            </w:r>
          </w:p>
        </w:tc>
        <w:tc>
          <w:p>
            <w:r>
              <w:rPr>
                <w:b w:val="false"/>
                <w:bCs w:val="false"/>
                <w:sz w:val="18"/>
                <w:szCs w:val="18"/>
              </w:rPr>
              <w:t xml:space="preserve">Motivated by Article 31 and Annex VII.</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5.2</w:t>
            </w:r>
          </w:p>
        </w:tc>
        <w:tc>
          <w:p>
            <w:r>
              <w:rPr>
                <w:b w:val="false"/>
                <w:bCs w:val="false"/>
                <w:sz w:val="18"/>
                <w:szCs w:val="18"/>
              </w:rPr>
              <w:t xml:space="preserve">Select the conformity assessment procedure for each product (internal control, EU-type examination with conformity to type, full quality assurance, or a European cybersecurity certification scheme where available and applicable) and plan any notified body involvement.</w:t>
            </w:r>
          </w:p>
        </w:tc>
        <w:tc>
          <w:p>
            <w:r>
              <w:rPr>
                <w:b w:val="false"/>
                <w:bCs w:val="false"/>
                <w:sz w:val="18"/>
                <w:szCs w:val="18"/>
              </w:rPr>
              <w:t xml:space="preserve">Article 32(1); Article 32(2); Article 32(3); Article 32(4); Article 27(1)</w:t>
            </w:r>
          </w:p>
        </w:tc>
        <w:tc>
          <w:p>
            <w:r>
              <w:rPr>
                <w:b w:val="false"/>
                <w:bCs w:val="false"/>
                <w:sz w:val="18"/>
                <w:szCs w:val="18"/>
              </w:rPr>
              <w:t xml:space="preserve">The procedures available depend on the product category (Article 32(1) to (4)). Track harmonised standards: conformity with them gives a presumption of conformity for the requirements they cover (Article 27(1)).</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5.3</w:t>
            </w:r>
          </w:p>
        </w:tc>
        <w:tc>
          <w:p>
            <w:r>
              <w:rPr>
                <w:b w:val="false"/>
                <w:bCs w:val="false"/>
                <w:sz w:val="18"/>
                <w:szCs w:val="18"/>
              </w:rPr>
              <w:t xml:space="preserve">Prepare the EU declaration of conformity and the CE marking arrangements (including, for software, on the declaration or the accompanying website).</w:t>
            </w:r>
          </w:p>
        </w:tc>
        <w:tc>
          <w:p>
            <w:r>
              <w:rPr>
                <w:b w:val="false"/>
                <w:bCs w:val="false"/>
                <w:sz w:val="18"/>
                <w:szCs w:val="18"/>
              </w:rPr>
              <w:t xml:space="preserve">Article 13(12), third subparagraph; Article 28(1); Article 30(1); Article 13(20)</w:t>
            </w:r>
          </w:p>
        </w:tc>
        <w:tc>
          <w:p>
            <w:r>
              <w:rPr>
                <w:b w:val="false"/>
                <w:bCs w:val="false"/>
                <w:sz w:val="18"/>
                <w:szCs w:val="18"/>
              </w:rPr>
              <w:t xml:space="preserve">Motivated by Articles 13(12) and (20), 28 and 30.</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5.4</w:t>
            </w:r>
          </w:p>
        </w:tc>
        <w:tc>
          <w:p>
            <w:r>
              <w:rPr>
                <w:b w:val="false"/>
                <w:bCs w:val="false"/>
                <w:sz w:val="18"/>
                <w:szCs w:val="18"/>
              </w:rPr>
              <w:t xml:space="preserve">Write the information and instructions to the user listed in Annex II, including the single point of contact and the end date of the support period.</w:t>
            </w:r>
          </w:p>
        </w:tc>
        <w:tc>
          <w:p>
            <w:r>
              <w:rPr>
                <w:b w:val="false"/>
                <w:bCs w:val="false"/>
                <w:sz w:val="18"/>
                <w:szCs w:val="18"/>
              </w:rPr>
              <w:t xml:space="preserve">Annex II; Article 13(18)</w:t>
            </w:r>
          </w:p>
        </w:tc>
        <w:tc>
          <w:p>
            <w:r>
              <w:rPr>
                <w:b w:val="false"/>
                <w:bCs w:val="false"/>
                <w:sz w:val="18"/>
                <w:szCs w:val="18"/>
              </w:rPr>
              <w:t xml:space="preserve">Motivated by Article 13(18) and Annex II.</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5.5</w:t>
            </w:r>
          </w:p>
        </w:tc>
        <w:tc>
          <w:p>
            <w:r>
              <w:rPr>
                <w:b w:val="false"/>
                <w:bCs w:val="false"/>
                <w:sz w:val="18"/>
                <w:szCs w:val="18"/>
              </w:rPr>
              <w:t xml:space="preserve">Set retention rules so that the technical documentation and the EU declaration of conformity are kept for at least 10 years after placing on the market or for the support period, whichever is longer.</w:t>
            </w:r>
          </w:p>
        </w:tc>
        <w:tc>
          <w:p>
            <w:r>
              <w:rPr>
                <w:b w:val="false"/>
                <w:bCs w:val="false"/>
                <w:sz w:val="18"/>
                <w:szCs w:val="18"/>
              </w:rPr>
              <w:t xml:space="preserve">Article 13(13)</w:t>
            </w:r>
          </w:p>
        </w:tc>
        <w:tc>
          <w:p>
            <w:r>
              <w:rPr>
                <w:b w:val="false"/>
                <w:bCs w:val="false"/>
                <w:sz w:val="18"/>
                <w:szCs w:val="18"/>
              </w:rPr>
              <w:t xml:space="preserve">Motivated by Article 13(13).</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6. Supply chain and monitoring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6.1</w:t>
            </w:r>
          </w:p>
        </w:tc>
        <w:tc>
          <w:p>
            <w:r>
              <w:rPr>
                <w:b w:val="false"/>
                <w:bCs w:val="false"/>
                <w:sz w:val="18"/>
                <w:szCs w:val="18"/>
              </w:rPr>
              <w:t xml:space="preserve">For importers and distributors: create verification checklists to run before placing or making a product available (conformity assessment carried out, technical documentation, CE marking, EU declaration of conformity, user information, contact details).</w:t>
            </w:r>
          </w:p>
        </w:tc>
        <w:tc>
          <w:p>
            <w:r>
              <w:rPr>
                <w:b w:val="false"/>
                <w:bCs w:val="false"/>
                <w:sz w:val="18"/>
                <w:szCs w:val="18"/>
              </w:rPr>
              <w:t xml:space="preserve">Article 19(2); Article 20(2)</w:t>
            </w:r>
          </w:p>
        </w:tc>
        <w:tc>
          <w:p>
            <w:r>
              <w:rPr>
                <w:b w:val="false"/>
                <w:bCs w:val="false"/>
                <w:sz w:val="18"/>
                <w:szCs w:val="18"/>
              </w:rPr>
              <w:t xml:space="preserve">Motivated by Articles 19(2) and 20(2).</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6.2</w:t>
            </w:r>
          </w:p>
        </w:tc>
        <w:tc>
          <w:p>
            <w:r>
              <w:rPr>
                <w:b w:val="false"/>
                <w:bCs w:val="false"/>
                <w:sz w:val="18"/>
                <w:szCs w:val="18"/>
              </w:rPr>
              <w:t xml:space="preserve">Agree with suppliers and customers how information on vulnerabilities flows between economic operators.</w:t>
            </w:r>
          </w:p>
        </w:tc>
        <w:tc>
          <w:p>
            <w:r>
              <w:rPr>
                <w:b w:val="false"/>
                <w:bCs w:val="false"/>
                <w:sz w:val="18"/>
                <w:szCs w:val="18"/>
              </w:rPr>
              <w:t xml:space="preserve">Article 19(5), second subparagraph; Article 20(4), second subparagraph; Article 13(6)</w:t>
            </w:r>
          </w:p>
        </w:tc>
        <w:tc>
          <w:p>
            <w:r>
              <w:rPr>
                <w:b w:val="false"/>
                <w:bCs w:val="false"/>
                <w:sz w:val="18"/>
                <w:szCs w:val="18"/>
              </w:rPr>
              <w:t xml:space="preserve">Recommendation. Importers and distributors must inform the manufacturer of vulnerabilities without undue delay; contracts can make the channels explicit.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6.3</w:t>
            </w:r>
          </w:p>
        </w:tc>
        <w:tc>
          <w:p>
            <w:r>
              <w:rPr>
                <w:b w:val="false"/>
                <w:bCs w:val="false"/>
                <w:sz w:val="18"/>
                <w:szCs w:val="18"/>
              </w:rPr>
              <w:t xml:space="preserve">Keep records identifying the economic operators who supplied you and, where available, those you supplied, for 10 years.</w:t>
            </w:r>
          </w:p>
        </w:tc>
        <w:tc>
          <w:p>
            <w:r>
              <w:rPr>
                <w:b w:val="false"/>
                <w:bCs w:val="false"/>
                <w:sz w:val="18"/>
                <w:szCs w:val="18"/>
              </w:rPr>
              <w:t xml:space="preserve">Article 23(1); Article 23(2)</w:t>
            </w:r>
          </w:p>
        </w:tc>
        <w:tc>
          <w:p>
            <w:r>
              <w:rPr>
                <w:b w:val="false"/>
                <w:bCs w:val="false"/>
                <w:sz w:val="18"/>
                <w:szCs w:val="18"/>
              </w:rPr>
              <w:t xml:space="preserve">Motivated by Article 23.</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6.4</w:t>
            </w:r>
          </w:p>
        </w:tc>
        <w:tc>
          <w:p>
            <w:r>
              <w:rPr>
                <w:b w:val="false"/>
                <w:bCs w:val="false"/>
                <w:sz w:val="18"/>
                <w:szCs w:val="18"/>
              </w:rPr>
              <w:t xml:space="preserve">Monitor delegated and implementing acts, harmonised standards and guidance referred to in the Regulation, and update the plan when they are published.</w:t>
            </w:r>
          </w:p>
        </w:tc>
        <w:tc>
          <w:p>
            <w:r>
              <w:rPr>
                <w:b w:val="false"/>
                <w:bCs w:val="false"/>
                <w:sz w:val="18"/>
                <w:szCs w:val="18"/>
              </w:rPr>
              <w:t xml:space="preserve">Article 7(4); Article 13(24); Article 14(10); Article 26; Article 27(1)</w:t>
            </w:r>
          </w:p>
        </w:tc>
        <w:tc>
          <w:p>
            <w:r>
              <w:rPr>
                <w:b w:val="false"/>
                <w:bCs w:val="false"/>
                <w:sz w:val="18"/>
                <w:szCs w:val="18"/>
              </w:rPr>
              <w:t xml:space="preserve">Recommendation. Several details (product category descriptions, SBOM format, notification formats) are left to such acts.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6.5</w:t>
            </w:r>
          </w:p>
        </w:tc>
        <w:tc>
          <w:p>
            <w:r>
              <w:rPr>
                <w:b w:val="false"/>
                <w:bCs w:val="false"/>
                <w:sz w:val="18"/>
                <w:szCs w:val="18"/>
              </w:rPr>
              <w:t xml:space="preserve">Microenterprises and small enterprises: check whether your Member State has set up awareness, advice or testing support measures.</w:t>
            </w:r>
          </w:p>
        </w:tc>
        <w:tc>
          <w:p>
            <w:r>
              <w:rPr>
                <w:b w:val="false"/>
                <w:bCs w:val="false"/>
                <w:sz w:val="18"/>
                <w:szCs w:val="18"/>
              </w:rPr>
              <w:t xml:space="preserve">Article 33(1)</w:t>
            </w:r>
          </w:p>
        </w:tc>
        <w:tc>
          <w:p>
            <w:r>
              <w:rPr>
                <w:b w:val="false"/>
                <w:bCs w:val="false"/>
                <w:sz w:val="18"/>
                <w:szCs w:val="18"/>
              </w:rPr>
              <w:t xml:space="preserve">Recommendation. Article 33(1) asks Member States, where appropriate, to undertake such actions.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Sources</w:t>
      </w:r>
    </w:p>
    <w:p>
      <w:r>
        <w:t xml:space="preserve">• Regulation (EU) 2024/2847 (Cyber Resilience Act), OJ L, 2024/2847, 20.11.2024, as corrected — Articles 2, 3, 7, 8, 13, 14, 16, 19 to 23, 26 to 28, 30 to 33, 69 and 71, Annexes I to IV and VII.</w:t>
      </w:r>
    </w:p>
    <w:p>
      <w:r>
        <w:t xml:space="preserve">• Official text: https://eur-lex.europa.eu/eli/reg/2024/2847/oj — read on regulation-cra.eu at /regulation.</w:t>
      </w:r>
    </w:p>
    <w:sectPr>
      <w:footerReference w:type="default" r:id="rId6"/>
      <w:pgSz w:w="16838" w:h="11906" w:orient="landscape"/>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regulation-cra.eu — Independent information and training website. Not affiliated with EU institutions.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 preparation action plan</dc:title>
  <dc:creator>regulation-cra.eu</dc:creator>
  <dc:description>resource.preparation-action-plan v1.0</dc:description>
  <cp:lastModifiedBy>Un-named</cp:lastModifiedBy>
  <cp:revision>1</cp:revision>
  <dcterms:created xsi:type="dcterms:W3CDTF">2026-11-02T13:16:59.570Z</dcterms:created>
  <dcterms:modified xsi:type="dcterms:W3CDTF">2026-11-02T13:16:59.570Z</dcterms:modified>
</cp:coreProperties>
</file>

<file path=docProps/custom.xml><?xml version="1.0" encoding="utf-8"?>
<Properties xmlns="http://schemas.openxmlformats.org/officeDocument/2006/custom-properties" xmlns:vt="http://schemas.openxmlformats.org/officeDocument/2006/docPropsVTypes"/>
</file>